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5EEEB" w14:textId="009EDB76" w:rsidR="00BE4DD2" w:rsidRDefault="00897D89" w:rsidP="00CC059F">
      <w:pPr>
        <w:pStyle w:val="Heading1"/>
        <w:rPr>
          <w:rFonts w:cs="Arial"/>
        </w:rPr>
      </w:pPr>
      <w:r>
        <w:rPr>
          <w:rFonts w:cs="Arial"/>
          <w:noProof/>
        </w:rPr>
        <w:drawing>
          <wp:inline distT="0" distB="0" distL="0" distR="0" wp14:anchorId="6955FB3C" wp14:editId="3C7DF34D">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7EB88671" w14:textId="05C39C3A" w:rsidR="00BE4DD2" w:rsidRDefault="00CC059F" w:rsidP="00CC059F">
      <w:pPr>
        <w:pStyle w:val="Heading1"/>
        <w:spacing w:line="240" w:lineRule="auto"/>
        <w:rPr>
          <w:rFonts w:cs="Arial"/>
          <w:b w:val="0"/>
        </w:rPr>
      </w:pPr>
      <w:r w:rsidRPr="00CC059F">
        <w:rPr>
          <w:rFonts w:cs="Arial"/>
          <w:b w:val="0"/>
        </w:rPr>
        <w:t>Business</w:t>
      </w:r>
      <w:r>
        <w:rPr>
          <w:rFonts w:cs="Arial"/>
          <w:b w:val="0"/>
        </w:rPr>
        <w:t xml:space="preserve"> Studies Division</w:t>
      </w:r>
    </w:p>
    <w:p w14:paraId="3C4D19FD" w14:textId="11EBB911" w:rsidR="00CC059F" w:rsidRDefault="00CC059F" w:rsidP="00CC059F">
      <w:pPr>
        <w:spacing w:line="240" w:lineRule="auto"/>
        <w:jc w:val="center"/>
      </w:pPr>
      <w:r>
        <w:t>1400 Tanyard Road, Sewell, NJ 08080</w:t>
      </w:r>
    </w:p>
    <w:p w14:paraId="50B73AA9" w14:textId="075C84DE" w:rsidR="00BE4DD2" w:rsidRDefault="00CC059F" w:rsidP="00CC059F">
      <w:pPr>
        <w:spacing w:line="240" w:lineRule="auto"/>
        <w:jc w:val="center"/>
        <w:rPr>
          <w:rFonts w:cs="Arial"/>
        </w:rPr>
      </w:pPr>
      <w:r>
        <w:t>856-468-5000</w:t>
      </w:r>
    </w:p>
    <w:p w14:paraId="4773F2F1" w14:textId="6BD67CC1" w:rsidR="201BECFA" w:rsidRPr="00823C95" w:rsidRDefault="003964F4" w:rsidP="201BECFA">
      <w:pPr>
        <w:pStyle w:val="Heading1"/>
        <w:jc w:val="left"/>
        <w:rPr>
          <w:rFonts w:cs="Arial"/>
        </w:rPr>
      </w:pPr>
      <w:r>
        <w:rPr>
          <w:rFonts w:cs="Arial"/>
        </w:rPr>
        <w:t>BUS 202</w:t>
      </w:r>
      <w:r w:rsidR="1728BCD8" w:rsidRPr="00823C95">
        <w:rPr>
          <w:rFonts w:cs="Arial"/>
        </w:rPr>
        <w:t xml:space="preserve">: </w:t>
      </w:r>
      <w:r w:rsidR="00C54535">
        <w:rPr>
          <w:rFonts w:cs="Arial"/>
        </w:rPr>
        <w:t>Managerial Accounting</w:t>
      </w:r>
    </w:p>
    <w:p w14:paraId="1D7C6BBF" w14:textId="39F62032" w:rsidR="001A18DC" w:rsidRPr="00823C95" w:rsidRDefault="1728BCD8" w:rsidP="004C5523">
      <w:pPr>
        <w:rPr>
          <w:rFonts w:cs="Arial"/>
        </w:rPr>
      </w:pPr>
      <w:r w:rsidRPr="00823C95">
        <w:rPr>
          <w:rFonts w:cs="Arial"/>
        </w:rPr>
        <w:t>Syllabus</w:t>
      </w:r>
    </w:p>
    <w:p w14:paraId="493E348F" w14:textId="42FC12B0" w:rsidR="001A18DC" w:rsidRPr="00823C95" w:rsidRDefault="008A705F" w:rsidP="1728BCD8">
      <w:pPr>
        <w:rPr>
          <w:rFonts w:eastAsia="Arial" w:cs="Arial"/>
        </w:rPr>
      </w:pPr>
      <w:r>
        <w:rPr>
          <w:rFonts w:cs="Arial"/>
        </w:rPr>
        <w:t xml:space="preserve">Lecture Hours/Credits: </w:t>
      </w:r>
      <w:r w:rsidR="00C54535">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6B69DF29" w:rsidR="00C54535" w:rsidRDefault="1728BCD8" w:rsidP="00C54535">
      <w:pPr>
        <w:rPr>
          <w:rFonts w:cs="Arial"/>
          <w:i/>
          <w:iCs/>
        </w:rPr>
      </w:pPr>
      <w:r w:rsidRPr="00823C95">
        <w:rPr>
          <w:rFonts w:cs="Arial"/>
          <w:i/>
          <w:iCs/>
        </w:rPr>
        <w:t xml:space="preserve">Prerequisite: </w:t>
      </w:r>
      <w:r w:rsidR="003964F4" w:rsidRPr="003964F4">
        <w:rPr>
          <w:rFonts w:cs="Arial"/>
          <w:i/>
          <w:iCs/>
        </w:rPr>
        <w:t>BUS 103, CIS 102 and MAT 101 or equivalent</w:t>
      </w:r>
      <w:r w:rsidRPr="003964F4">
        <w:rPr>
          <w:rFonts w:cs="Arial"/>
          <w:i/>
          <w:iCs/>
        </w:rPr>
        <w:t xml:space="preserve"> </w:t>
      </w:r>
    </w:p>
    <w:p w14:paraId="4E719C0B" w14:textId="77777777" w:rsidR="003964F4" w:rsidRDefault="003964F4" w:rsidP="003964F4">
      <w:pPr>
        <w:spacing w:after="0" w:line="240" w:lineRule="auto"/>
        <w:jc w:val="both"/>
        <w:rPr>
          <w:rFonts w:cs="Arial"/>
          <w:color w:val="000000" w:themeColor="text1"/>
        </w:rPr>
      </w:pPr>
      <w:r w:rsidRPr="00525B1A">
        <w:rPr>
          <w:rFonts w:cs="Arial"/>
          <w:color w:val="000000" w:themeColor="text1"/>
        </w:rPr>
        <w:t>This course provides an expanded treatment of theory and accounting principles underlying the preparation of financial statements. Emphasis is on current assets and current liabilities.</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5FBB6DF8"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743973">
        <w:rPr>
          <w:rFonts w:ascii="Arial" w:hAnsi="Arial" w:cs="Arial"/>
        </w:rPr>
        <w:t xml:space="preserve">of South Jersey </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C6DAD38" w:rsidR="0071500D" w:rsidRPr="00823C95" w:rsidRDefault="1728BCD8" w:rsidP="1728BCD8">
      <w:pPr>
        <w:rPr>
          <w:rFonts w:eastAsia="Arial" w:cs="Arial"/>
        </w:rPr>
      </w:pPr>
      <w:r w:rsidRPr="00823C95">
        <w:rPr>
          <w:rFonts w:cs="Arial"/>
        </w:rPr>
        <w:t>This comprehensive list reflects the core competencies that are essential for all RCGC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7163DCD" w:rsidR="00976284" w:rsidRPr="00823C95" w:rsidRDefault="003964F4" w:rsidP="00976284">
      <w:pPr>
        <w:pStyle w:val="Heading2"/>
      </w:pPr>
      <w:r>
        <w:t>BUS 202</w:t>
      </w:r>
      <w:r w:rsidR="1728BCD8" w:rsidRPr="00823C95">
        <w:t xml:space="preserve"> Core Competencies</w:t>
      </w:r>
    </w:p>
    <w:p w14:paraId="3AB3BC49" w14:textId="459F30DC" w:rsidR="00B373CD" w:rsidRPr="00CC059F" w:rsidRDefault="1728BCD8" w:rsidP="1728BCD8">
      <w:pPr>
        <w:rPr>
          <w:rFonts w:cs="Arial"/>
        </w:rPr>
      </w:pPr>
      <w:r w:rsidRPr="00823C95">
        <w:rPr>
          <w:rFonts w:cs="Arial"/>
        </w:rPr>
        <w:t>This course focuses on</w:t>
      </w:r>
      <w:r w:rsidRPr="00823C95">
        <w:rPr>
          <w:rFonts w:eastAsia="Arial" w:cs="Arial"/>
        </w:rPr>
        <w:t xml:space="preserve"> </w:t>
      </w:r>
      <w:r w:rsidR="00CC059F">
        <w:rPr>
          <w:rFonts w:cs="Arial"/>
        </w:rPr>
        <w:t>one</w:t>
      </w:r>
      <w:r w:rsidRPr="00823C95">
        <w:rPr>
          <w:rFonts w:cs="Arial"/>
        </w:rPr>
        <w:t xml:space="preserve"> of RCGC’s Core Competencies:</w:t>
      </w:r>
    </w:p>
    <w:p w14:paraId="62A1A86A"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Quantitative Knowledge and Skills</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417A7F2C" w:rsidR="000E0A74" w:rsidRPr="00823C95" w:rsidRDefault="1728BCD8" w:rsidP="000E0A74">
      <w:pPr>
        <w:pStyle w:val="Heading1"/>
        <w:rPr>
          <w:rFonts w:cs="Arial"/>
        </w:rPr>
      </w:pPr>
      <w:r w:rsidRPr="00823C95">
        <w:rPr>
          <w:rFonts w:cs="Arial"/>
        </w:rPr>
        <w:lastRenderedPageBreak/>
        <w:t xml:space="preserve">Student Learning Outcomes: </w:t>
      </w:r>
      <w:r w:rsidR="003964F4">
        <w:rPr>
          <w:rFonts w:cs="Arial"/>
        </w:rPr>
        <w:t>Intermediate Accounting I</w:t>
      </w:r>
      <w:r w:rsidRPr="00823C95">
        <w:rPr>
          <w:rFonts w:cs="Arial"/>
        </w:rPr>
        <w:t>I</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8A705F">
        <w:trPr>
          <w:trHeight w:val="1619"/>
          <w:tblHeader/>
        </w:trPr>
        <w:tc>
          <w:tcPr>
            <w:tcW w:w="3960" w:type="dxa"/>
          </w:tcPr>
          <w:p w14:paraId="1B0B2180" w14:textId="1D90FAD6" w:rsidR="201BECFA" w:rsidRPr="00823C95" w:rsidRDefault="000E0A74" w:rsidP="00823C95">
            <w:pPr>
              <w:pStyle w:val="Heading2"/>
              <w:jc w:val="center"/>
              <w:outlineLvl w:val="1"/>
            </w:pPr>
            <w:r w:rsidRPr="00823C95">
              <w:t xml:space="preserve">Successful completion of </w:t>
            </w:r>
            <w:r w:rsidR="003964F4">
              <w:t>BUS 202</w:t>
            </w:r>
            <w:r w:rsidRPr="00823C95">
              <w:t xml:space="preserve"> will help students:</w:t>
            </w:r>
            <w:r w:rsidR="1728BCD8" w:rsidRPr="00823C95">
              <w:t xml:space="preserve"> </w:t>
            </w:r>
          </w:p>
        </w:tc>
        <w:tc>
          <w:tcPr>
            <w:tcW w:w="4050" w:type="dxa"/>
          </w:tcPr>
          <w:p w14:paraId="0ADAEF12" w14:textId="68BDEEC8" w:rsidR="005B4347" w:rsidRPr="00823C95" w:rsidRDefault="1728BCD8" w:rsidP="00466CC2">
            <w:pPr>
              <w:pStyle w:val="Heading2"/>
              <w:jc w:val="center"/>
              <w:outlineLvl w:val="1"/>
            </w:pPr>
            <w:r w:rsidRPr="00823C95">
              <w:t>RCGC Core Competencies</w:t>
            </w:r>
          </w:p>
          <w:p w14:paraId="3E5E5622" w14:textId="77777777" w:rsidR="201BECFA" w:rsidRPr="00823C95" w:rsidRDefault="201BECFA">
            <w:pPr>
              <w:rPr>
                <w:rFonts w:cs="Arial"/>
              </w:rPr>
            </w:pPr>
          </w:p>
        </w:tc>
        <w:tc>
          <w:tcPr>
            <w:tcW w:w="3240" w:type="dxa"/>
          </w:tcPr>
          <w:p w14:paraId="4BD50BBA" w14:textId="77B999BD"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CC059F">
              <w:rPr>
                <w:sz w:val="18"/>
                <w:szCs w:val="18"/>
              </w:rPr>
              <w:t>)</w:t>
            </w:r>
          </w:p>
        </w:tc>
      </w:tr>
      <w:tr w:rsidR="004A5FD9" w:rsidRPr="00823C95" w14:paraId="29E1C338" w14:textId="77777777" w:rsidTr="008A705F">
        <w:trPr>
          <w:trHeight w:val="1178"/>
          <w:tblHeader/>
        </w:trPr>
        <w:tc>
          <w:tcPr>
            <w:tcW w:w="3960" w:type="dxa"/>
          </w:tcPr>
          <w:p w14:paraId="5B66129B" w14:textId="4D66FFFE" w:rsidR="004A5FD9" w:rsidRPr="00823C95" w:rsidRDefault="003964F4" w:rsidP="00CB3FD0">
            <w:pPr>
              <w:rPr>
                <w:rFonts w:cs="Arial"/>
              </w:rPr>
            </w:pPr>
            <w:r>
              <w:rPr>
                <w:rFonts w:cs="Arial"/>
              </w:rPr>
              <w:t xml:space="preserve">See topic list below </w:t>
            </w:r>
          </w:p>
        </w:tc>
        <w:tc>
          <w:tcPr>
            <w:tcW w:w="4050" w:type="dxa"/>
          </w:tcPr>
          <w:p w14:paraId="75E4B526" w14:textId="71F83682" w:rsidR="004A5FD9" w:rsidRPr="00823C95" w:rsidRDefault="003964F4" w:rsidP="00CB3FD0">
            <w:pPr>
              <w:rPr>
                <w:rFonts w:cs="Arial"/>
              </w:rPr>
            </w:pPr>
            <w:r>
              <w:rPr>
                <w:rFonts w:cs="Arial"/>
              </w:rPr>
              <w:t>Quantitative Knowledge and Skills</w:t>
            </w:r>
          </w:p>
        </w:tc>
        <w:tc>
          <w:tcPr>
            <w:tcW w:w="3240" w:type="dxa"/>
          </w:tcPr>
          <w:p w14:paraId="620661C6" w14:textId="3D9500FC" w:rsidR="004A5FD9" w:rsidRPr="00823C95" w:rsidRDefault="003964F4" w:rsidP="00CB3FD0">
            <w:pPr>
              <w:rPr>
                <w:rFonts w:cs="Arial"/>
              </w:rPr>
            </w:pPr>
            <w:r>
              <w:rPr>
                <w:rFonts w:cs="Arial"/>
              </w:rPr>
              <w:t>Exams</w:t>
            </w:r>
          </w:p>
        </w:tc>
      </w:tr>
    </w:tbl>
    <w:p w14:paraId="197A07D4" w14:textId="77777777" w:rsidR="003964F4" w:rsidRDefault="003964F4">
      <w:pPr>
        <w:spacing w:before="0" w:after="160" w:line="259" w:lineRule="auto"/>
        <w:rPr>
          <w:rFonts w:cs="Arial"/>
          <w:szCs w:val="22"/>
        </w:rPr>
      </w:pPr>
    </w:p>
    <w:p w14:paraId="65B5A312" w14:textId="77777777" w:rsidR="003964F4" w:rsidRDefault="003964F4">
      <w:pPr>
        <w:spacing w:before="0" w:after="160" w:line="259" w:lineRule="auto"/>
        <w:rPr>
          <w:rFonts w:cs="Arial"/>
          <w:szCs w:val="22"/>
        </w:rPr>
      </w:pPr>
      <w:r>
        <w:rPr>
          <w:rFonts w:cs="Arial"/>
          <w:szCs w:val="22"/>
        </w:rPr>
        <w:br w:type="page"/>
      </w:r>
    </w:p>
    <w:p w14:paraId="2CF8782B" w14:textId="2CA6EDA4" w:rsidR="003964F4" w:rsidRDefault="003964F4" w:rsidP="003964F4">
      <w:pPr>
        <w:spacing w:before="0" w:after="160" w:line="259" w:lineRule="auto"/>
        <w:rPr>
          <w:rFonts w:cs="Arial"/>
          <w:szCs w:val="22"/>
        </w:rPr>
      </w:pPr>
      <w:r>
        <w:rPr>
          <w:rFonts w:cs="Arial"/>
          <w:szCs w:val="22"/>
        </w:rPr>
        <w:lastRenderedPageBreak/>
        <w:t>Topic Outline</w:t>
      </w:r>
    </w:p>
    <w:p w14:paraId="5D84D5BB" w14:textId="2C8BFAD3"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1 ENVIRONMENT AND THEORETICAL STRUCTURE OF FINANCIAL ACCOUNTING</w:t>
      </w:r>
    </w:p>
    <w:p w14:paraId="755BCA12" w14:textId="7BD604F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function and primary focus of financial accounting.</w:t>
      </w:r>
    </w:p>
    <w:p w14:paraId="5D640BD3" w14:textId="0A7103F4"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difference between cash and accrual accounting.</w:t>
      </w:r>
    </w:p>
    <w:p w14:paraId="62267E15" w14:textId="1AE46A8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Define generally accepted accounting principles (GAAP) and discuss the historical development of accounting standards.</w:t>
      </w:r>
    </w:p>
    <w:p w14:paraId="79BFE310" w14:textId="1442735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why the establishment of accounting standards is characterized as a political process.</w:t>
      </w:r>
    </w:p>
    <w:p w14:paraId="5176CB2E" w14:textId="0A7CEBBD"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purpose of the FASB’s conceptual framework.</w:t>
      </w:r>
    </w:p>
    <w:p w14:paraId="555D92FA" w14:textId="72013A54"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the objective of financial reporting, the qualitative characteristics of financial reporting information, and the elements of financial statements.</w:t>
      </w:r>
    </w:p>
    <w:p w14:paraId="01DC76E9" w14:textId="64CB928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four basic assumptions underlying GAAP.</w:t>
      </w:r>
    </w:p>
    <w:p w14:paraId="518F7159" w14:textId="67009B16"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four broad accounting principles that guide accounting practice</w:t>
      </w:r>
    </w:p>
    <w:p w14:paraId="15A3C613" w14:textId="6AC5190B"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2 REVIEW OF THE ACCOUNTING PROCESS</w:t>
      </w:r>
    </w:p>
    <w:p w14:paraId="62FF625C" w14:textId="5D1845F6"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Analyze routine economic events—transactions—and record their effects on a company’s financial position using the accounting equation format.</w:t>
      </w:r>
    </w:p>
    <w:p w14:paraId="7A6D560F" w14:textId="1765767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Record transactions using the general journal format.</w:t>
      </w:r>
    </w:p>
    <w:p w14:paraId="4F8B7A34" w14:textId="14605988"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Post the effects of journal entries to general ledger accounts and prepare an unadjusted trial balance.</w:t>
      </w:r>
    </w:p>
    <w:p w14:paraId="34DC075D" w14:textId="310428D8"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describe the different types of adjusting journal entries.</w:t>
      </w:r>
    </w:p>
    <w:p w14:paraId="781358E4" w14:textId="17E80598"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Record adjusting journal entries in general journal format, post entries, and prepare an adjusted trial balance.</w:t>
      </w:r>
    </w:p>
    <w:p w14:paraId="1946286E" w14:textId="1334DF6D"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four basic financial statements.</w:t>
      </w:r>
    </w:p>
    <w:p w14:paraId="3389B258" w14:textId="0115B6C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closing process.</w:t>
      </w:r>
    </w:p>
    <w:p w14:paraId="3B3F233F" w14:textId="2DA86B10"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Convert from cash basis net income to accrual basis net income.</w:t>
      </w:r>
    </w:p>
    <w:p w14:paraId="7FD7EC0A" w14:textId="36B5A345"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3 THE BALANCE SHEET AND FINANCIAL DISCLOSURES</w:t>
      </w:r>
    </w:p>
    <w:p w14:paraId="74FDF610" w14:textId="0D1B752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 xml:space="preserve">Describe the purpose of the balance sheet and understand its usefulness and limitations. </w:t>
      </w:r>
    </w:p>
    <w:p w14:paraId="4DD5C1FE" w14:textId="240AE48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Distinguish among current and noncurrent assets and liabilities.</w:t>
      </w:r>
    </w:p>
    <w:p w14:paraId="1C80029F" w14:textId="4D097C4A"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describe the various balance sheet asset classifications.</w:t>
      </w:r>
    </w:p>
    <w:p w14:paraId="75F13CF7" w14:textId="2CE72294"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describe the two balance sheet liability classifications.</w:t>
      </w:r>
    </w:p>
    <w:p w14:paraId="42BCBA34" w14:textId="0A13DEE8"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purpose of financial statement disclosures.</w:t>
      </w:r>
    </w:p>
    <w:p w14:paraId="5D403B13" w14:textId="36DCB160"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purpose of the management discussion and analysis disclosure.</w:t>
      </w:r>
    </w:p>
    <w:p w14:paraId="04272E1C" w14:textId="6AADE79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purpose of an audit and describe the content of the audit report.</w:t>
      </w:r>
    </w:p>
    <w:p w14:paraId="6E20925B" w14:textId="64311A7A"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techniques used by financial analysts to transform financial information into forms more useful for analysis.</w:t>
      </w:r>
    </w:p>
    <w:p w14:paraId="729B9103" w14:textId="061AB650"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calculate the common liquidity and financing ratios used to assess risk.</w:t>
      </w:r>
    </w:p>
    <w:p w14:paraId="43797DA5" w14:textId="3BF872BE"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the balance sheet, financial disclosures, and segment reporting.</w:t>
      </w:r>
    </w:p>
    <w:p w14:paraId="033DC6FD" w14:textId="70F35E67"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4 THE INCOME STATEMENT AND STATEMENT OF CASH FLOWS</w:t>
      </w:r>
    </w:p>
    <w:p w14:paraId="62BFCC83" w14:textId="01895A0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importance of income from continuing operations and describe its components.</w:t>
      </w:r>
    </w:p>
    <w:p w14:paraId="7315B998" w14:textId="13319CA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earnings quality and how it is impacted by management practices to manipulate earnings.</w:t>
      </w:r>
    </w:p>
    <w:p w14:paraId="237DEDAA" w14:textId="578F393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components of operating and nonoperating income and their relationship to earnings quality.</w:t>
      </w:r>
    </w:p>
    <w:p w14:paraId="31134689" w14:textId="4765FAD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lastRenderedPageBreak/>
        <w:t>Define what constitutes discontinued operations and describe the appropriate income statement presentation for these transactions.</w:t>
      </w:r>
    </w:p>
    <w:p w14:paraId="4B85BCF3" w14:textId="1C980AB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Define extraordinary items and describe the appropriate income statement presentation for these transactions.</w:t>
      </w:r>
    </w:p>
    <w:p w14:paraId="64AEA58B" w14:textId="43545054"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measurement and reporting requirements for a change in accounting principle.</w:t>
      </w:r>
    </w:p>
    <w:p w14:paraId="1B11BB96" w14:textId="14BE2DC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accounting treatments of changes in estimates and correction of errors.</w:t>
      </w:r>
    </w:p>
    <w:p w14:paraId="12562729" w14:textId="463138D0"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 xml:space="preserve">Define earnings per share (EPS) and explain required disclosures of EPS for certain income statement components. </w:t>
      </w:r>
    </w:p>
    <w:p w14:paraId="0E29162E" w14:textId="3F7BF3C6"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difference between net income and comprehensive income and how we report components of the difference.</w:t>
      </w:r>
    </w:p>
    <w:p w14:paraId="5944A4B9" w14:textId="40BA6B71"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purpose of the statement of cash flows.</w:t>
      </w:r>
    </w:p>
    <w:p w14:paraId="39702805" w14:textId="5665F71D"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describe the various classifications of cash flows presented in a statement of cash flows.</w:t>
      </w:r>
    </w:p>
    <w:p w14:paraId="333E71E0" w14:textId="64CBF514"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the income statement and statement of cash flows.</w:t>
      </w:r>
    </w:p>
    <w:p w14:paraId="0244F34C" w14:textId="73B7715F"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5 INCOME MEASUREMENT AND PROFITABILITY ANALYSIS</w:t>
      </w:r>
    </w:p>
    <w:p w14:paraId="00CA5A6F" w14:textId="317AF37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general objective of the timing of revenue recognition, list the two general criteria that must be satisfied before revenue can be recognized, and explain why these criteria usually are satisfied at a specific point in time.</w:t>
      </w:r>
    </w:p>
    <w:p w14:paraId="6DFBF464" w14:textId="3E6B65CA"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installment sales and cost recovery methods of recognizing revenue for some types of installment sales and explain the unusual conditions under which these methods might be used.</w:t>
      </w:r>
    </w:p>
    <w:p w14:paraId="75DB96A3" w14:textId="2C5BDECA"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implications for revenue recognition of allowing customers the right of return.</w:t>
      </w:r>
    </w:p>
    <w:p w14:paraId="042EEFC4" w14:textId="167F15E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situations that call for the recognition of revenue over time and distinguish between the percentage-of-completion and completed contract methods of recognizing revenue for long-term contracts.</w:t>
      </w:r>
    </w:p>
    <w:p w14:paraId="17B0F21F" w14:textId="031CB84D"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revenue recognition issues involving multiple-deliverable contracts, software, and franchise sales.</w:t>
      </w:r>
    </w:p>
    <w:p w14:paraId="7A454069" w14:textId="66D77A56"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Identify and calculate the common ratios used to assess profitability.</w:t>
      </w:r>
    </w:p>
    <w:p w14:paraId="19F7A9BC" w14:textId="48513CB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revenue recognition.</w:t>
      </w:r>
    </w:p>
    <w:p w14:paraId="5FA62B73" w14:textId="5FA8AF48"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6 TIME VALUE OF MONEY CONCEPTS</w:t>
      </w:r>
    </w:p>
    <w:p w14:paraId="4A1EAF48" w14:textId="32D8348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difference between simple and compound interest.</w:t>
      </w:r>
    </w:p>
    <w:p w14:paraId="16374C34" w14:textId="231DA721"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Compute the future value of a single amount.</w:t>
      </w:r>
    </w:p>
    <w:p w14:paraId="627321B5" w14:textId="6D414C45"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Compute the present value of a single amount.</w:t>
      </w:r>
    </w:p>
    <w:p w14:paraId="75E10D25" w14:textId="1D1A1DD7"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Solve for either the interest rate or the number of compounding periods when present value and future value of a single amount are known.</w:t>
      </w:r>
    </w:p>
    <w:p w14:paraId="55C22FF6" w14:textId="4F9E3F4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difference between an ordinary annuity and an annuity due situation.</w:t>
      </w:r>
    </w:p>
    <w:p w14:paraId="15B6E363" w14:textId="5DC6FA67"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Compute the future value of both an ordinary annuity and an annuity due.</w:t>
      </w:r>
    </w:p>
    <w:p w14:paraId="243DF979" w14:textId="542BBBF1"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Compute the present value of an ordinary annuity, an annuity due, and a deferred annuity.</w:t>
      </w:r>
    </w:p>
    <w:p w14:paraId="78986CBF" w14:textId="3526CB1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Solve for unknown values in annuity situations involving present value.</w:t>
      </w:r>
    </w:p>
    <w:p w14:paraId="0A90DAC5" w14:textId="5A7446C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Briefly describe how the concept of the time value of money is incorporated into the valuation of bonds, long-term leases, and pension obligations.</w:t>
      </w:r>
    </w:p>
    <w:p w14:paraId="722562F2" w14:textId="77777777" w:rsidR="003964F4" w:rsidRPr="003964F4" w:rsidRDefault="003964F4" w:rsidP="003964F4">
      <w:pPr>
        <w:pStyle w:val="ListParagraph"/>
        <w:spacing w:before="0" w:after="0" w:line="259" w:lineRule="auto"/>
        <w:rPr>
          <w:rFonts w:cs="Arial"/>
          <w:szCs w:val="22"/>
        </w:rPr>
      </w:pPr>
    </w:p>
    <w:p w14:paraId="23BD0B79" w14:textId="5592A234"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lastRenderedPageBreak/>
        <w:t>CHAPTER 7 CASH AND RECEIVABLES</w:t>
      </w:r>
    </w:p>
    <w:p w14:paraId="5E84179B" w14:textId="5D9D90D6"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Define what is meant by internal control and describe some key elements of an internal control system for cash receipts and disbursements.</w:t>
      </w:r>
    </w:p>
    <w:p w14:paraId="0C8A88B4" w14:textId="41B8F982"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possible restrictions on cash and their implications for classification on the balance sheet.</w:t>
      </w:r>
    </w:p>
    <w:p w14:paraId="39AB0A61" w14:textId="24C47737"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Distinguish between the gross and net methods of accounting for cash discounts.</w:t>
      </w:r>
    </w:p>
    <w:p w14:paraId="71B9EC6C" w14:textId="2EFE41B3"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accounting treatment for merchandise returns.</w:t>
      </w:r>
    </w:p>
    <w:p w14:paraId="04AFEC7D" w14:textId="095E7415"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accounting treatment of anticipated uncollectible accounts receivable.</w:t>
      </w:r>
    </w:p>
    <w:p w14:paraId="6C10379F" w14:textId="47F3D4DA"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two approaches to estimating bad debts.</w:t>
      </w:r>
    </w:p>
    <w:p w14:paraId="4532C227" w14:textId="76D8A8FD"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accounting treatment of short-term notes receivable.</w:t>
      </w:r>
    </w:p>
    <w:p w14:paraId="474F2184" w14:textId="1349A1C5"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Differentiate between the use of receivables in financing arrangements accounted for as a secured borrowing and those accounted for as a sale.</w:t>
      </w:r>
    </w:p>
    <w:p w14:paraId="41C5AC81" w14:textId="0C238B7B"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Describe the variables that influence a company’s investment in receivables and calculate the key ratios used by analysts to monitor that investment.</w:t>
      </w:r>
    </w:p>
    <w:p w14:paraId="2504CB41" w14:textId="0F3EB13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cash and receivables.</w:t>
      </w:r>
    </w:p>
    <w:p w14:paraId="596893F4" w14:textId="6D10CC62"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8 INVENTORIES: MEASUREMENT</w:t>
      </w:r>
    </w:p>
    <w:p w14:paraId="6870D655" w14:textId="7FA242BF"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the difference between a perpetual inventory system and a periodic inventory system.</w:t>
      </w:r>
    </w:p>
    <w:p w14:paraId="4BDB75FC" w14:textId="7AE40C91"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Explain which physical quantities of goods should be included in inventory.</w:t>
      </w:r>
    </w:p>
    <w:p w14:paraId="3D4A2F18" w14:textId="0EF02EA9"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Determine the expenditures that should be included in the cost of inventory.</w:t>
      </w:r>
    </w:p>
    <w:p w14:paraId="61FD90CC" w14:textId="7362DE9E" w:rsidR="003964F4" w:rsidRPr="003964F4" w:rsidRDefault="003964F4" w:rsidP="003964F4">
      <w:pPr>
        <w:pStyle w:val="ListParagraph"/>
        <w:numPr>
          <w:ilvl w:val="1"/>
          <w:numId w:val="19"/>
        </w:numPr>
        <w:spacing w:before="0" w:after="0" w:line="259" w:lineRule="auto"/>
        <w:rPr>
          <w:rFonts w:cs="Arial"/>
          <w:szCs w:val="22"/>
        </w:rPr>
      </w:pPr>
      <w:r w:rsidRPr="003964F4">
        <w:rPr>
          <w:rFonts w:cs="Arial"/>
          <w:szCs w:val="22"/>
        </w:rPr>
        <w:t>Differentiate between the specific identification, FIFO, LIFO, and average cost methods used to determine the cost of ending inventory and cost of goods sold.</w:t>
      </w:r>
    </w:p>
    <w:p w14:paraId="57A8BD39" w14:textId="27969C02"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Discuss the factors affecting a company’s choice of inventory method.</w:t>
      </w:r>
    </w:p>
    <w:p w14:paraId="7F7008BF" w14:textId="5C0B4C4A"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Understand supplemental LIFO disclosures and the effect of LIFO liquidations on net income.</w:t>
      </w:r>
    </w:p>
    <w:p w14:paraId="080C8DD0" w14:textId="254B2921"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Calculate the key ratios used by analysts to monitor a company’s investment in inventories.</w:t>
      </w:r>
    </w:p>
    <w:p w14:paraId="64A912F1" w14:textId="57679F69"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Determine ending inventory using the dollar-value LIFO inventory method.</w:t>
      </w:r>
    </w:p>
    <w:p w14:paraId="45489219" w14:textId="3F6A3B8B"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Discuss the primary difference between U.S. GAAP and IFRS with respect to determining the cost of inventory.</w:t>
      </w:r>
    </w:p>
    <w:p w14:paraId="0A93BFC6" w14:textId="744D16D5"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t>CHAPTER 9 INVENTORIES: ADDITIONAL ISSUES</w:t>
      </w:r>
    </w:p>
    <w:p w14:paraId="278D76B9" w14:textId="7943A1E9"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Understand and apply the lower-of-cost-or-market rule used to value inventories.</w:t>
      </w:r>
    </w:p>
    <w:p w14:paraId="79104D74" w14:textId="0ABF315A"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Estimate ending inventory and cost of goods sold using the gross profit method.</w:t>
      </w:r>
    </w:p>
    <w:p w14:paraId="01784877" w14:textId="32AC2E17"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Estimate ending inventory and cost of goods sold using the retail inventory method, applying the various cost flow methods.</w:t>
      </w:r>
    </w:p>
    <w:p w14:paraId="7E80B14D" w14:textId="259F1C2D"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Explain how the retail inventory method can be made to approximate the lower-of-cost-or-market rule.</w:t>
      </w:r>
    </w:p>
    <w:p w14:paraId="2A1EE065" w14:textId="58F3E2B3"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Determine ending inventory using the dollar-value LIFO retail inventory method.</w:t>
      </w:r>
    </w:p>
    <w:p w14:paraId="7D9346A6" w14:textId="0B4BFDD6"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Explain the appropriate accounting treatment required when a change in inventory method is made.</w:t>
      </w:r>
    </w:p>
    <w:p w14:paraId="160A44D8" w14:textId="273CB9AE"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Explain the appropriate accounting treatment required when an inventory error is discovered.</w:t>
      </w:r>
    </w:p>
    <w:p w14:paraId="22FFD3BC" w14:textId="01581F2A"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the lower-of-cost-or-market rule for valuing inventory.</w:t>
      </w:r>
    </w:p>
    <w:p w14:paraId="4B6A8ECA" w14:textId="77777777" w:rsidR="003964F4" w:rsidRPr="003964F4" w:rsidRDefault="003964F4" w:rsidP="007B1D0A">
      <w:pPr>
        <w:pStyle w:val="ListParagraph"/>
        <w:spacing w:before="0" w:after="0" w:line="259" w:lineRule="auto"/>
        <w:rPr>
          <w:rFonts w:cs="Arial"/>
          <w:szCs w:val="22"/>
        </w:rPr>
      </w:pPr>
    </w:p>
    <w:p w14:paraId="3520CEA3" w14:textId="203E0C07" w:rsidR="003964F4" w:rsidRPr="003964F4" w:rsidRDefault="003964F4" w:rsidP="003964F4">
      <w:pPr>
        <w:pStyle w:val="ListParagraph"/>
        <w:numPr>
          <w:ilvl w:val="0"/>
          <w:numId w:val="19"/>
        </w:numPr>
        <w:spacing w:before="0" w:after="0" w:line="259" w:lineRule="auto"/>
        <w:rPr>
          <w:rFonts w:cs="Arial"/>
          <w:szCs w:val="22"/>
        </w:rPr>
      </w:pPr>
      <w:r w:rsidRPr="003964F4">
        <w:rPr>
          <w:rFonts w:cs="Arial"/>
          <w:szCs w:val="22"/>
        </w:rPr>
        <w:lastRenderedPageBreak/>
        <w:t>CHAPTER 10 PROPERTY, PLANT, AND EQUIPMENT AND INTANGIBLE ASSETS: ACQUISITION AND DISPOSITION</w:t>
      </w:r>
    </w:p>
    <w:p w14:paraId="61D19C6B" w14:textId="0DC5C1FD"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Identify the various costs included in the initial cost of property, plant, and equipment, natural resources, and intangible assets.</w:t>
      </w:r>
    </w:p>
    <w:p w14:paraId="416AA351" w14:textId="79FFC4F1"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Determine the initial cost of individual property, plant, and equipment and intangible assets acquired as a group for a lump-sum purchase price.</w:t>
      </w:r>
    </w:p>
    <w:p w14:paraId="33082A3A" w14:textId="73340130"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Determine the initial cost of property, plant, and equipment and intangible assets acquired in exchange for a deferred payment contract.</w:t>
      </w:r>
    </w:p>
    <w:p w14:paraId="5B48B7B4" w14:textId="5FF38D48"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Determine the initial cost of property, plant, and equipment and intangible assets acquired in exchange for equity securities, or through donation.</w:t>
      </w:r>
    </w:p>
    <w:p w14:paraId="0FBC5CEB" w14:textId="485823F3"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Calculate the fixed-asset turnover ratio used by analysts to measure how effectively managers use property, plant, and equipment.</w:t>
      </w:r>
    </w:p>
    <w:p w14:paraId="484565C2" w14:textId="284AB0A3"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Explain how to account for dispositions and exchanges for other nonmonetary assets</w:t>
      </w:r>
    </w:p>
    <w:p w14:paraId="295D9AC5" w14:textId="6E352FE6"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Identify the items included in the cost of a self-constructed asset and determine the amount of capitalized interest.</w:t>
      </w:r>
    </w:p>
    <w:p w14:paraId="07074280" w14:textId="65E9D978"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Explain the difference in the accounting treatment of costs incurred to purchase intangible assets versus the costs incurred to internally develop intangible assets.</w:t>
      </w:r>
    </w:p>
    <w:p w14:paraId="3C8ECE31" w14:textId="58648DCC" w:rsidR="003964F4" w:rsidRPr="003964F4" w:rsidRDefault="003964F4" w:rsidP="007B1D0A">
      <w:pPr>
        <w:pStyle w:val="ListParagraph"/>
        <w:numPr>
          <w:ilvl w:val="1"/>
          <w:numId w:val="19"/>
        </w:numPr>
        <w:spacing w:before="0" w:after="0" w:line="259" w:lineRule="auto"/>
        <w:rPr>
          <w:rFonts w:cs="Arial"/>
          <w:szCs w:val="22"/>
        </w:rPr>
      </w:pPr>
      <w:r w:rsidRPr="003964F4">
        <w:rPr>
          <w:rFonts w:cs="Arial"/>
          <w:szCs w:val="22"/>
        </w:rPr>
        <w:t>Discuss the primary differences between U.S. GAAP and IFRS with respect to the acquisition and disposition of property, plant, and equipment and intangible assets.</w:t>
      </w:r>
    </w:p>
    <w:p w14:paraId="5DF764E1" w14:textId="798B07C2" w:rsidR="006F0F6C" w:rsidRPr="00823C95" w:rsidRDefault="006F0F6C">
      <w:pPr>
        <w:spacing w:before="0" w:after="160" w:line="259" w:lineRule="auto"/>
        <w:rPr>
          <w:rFonts w:cs="Arial"/>
          <w:szCs w:val="22"/>
        </w:rPr>
      </w:pPr>
      <w:r w:rsidRPr="00823C95">
        <w:rPr>
          <w:rFonts w:cs="Arial"/>
          <w:szCs w:val="22"/>
        </w:rPr>
        <w:br w:type="page"/>
      </w:r>
    </w:p>
    <w:p w14:paraId="113F6246" w14:textId="77777777" w:rsidR="00743973" w:rsidRPr="00823C95" w:rsidRDefault="00743973" w:rsidP="00743973">
      <w:pPr>
        <w:pStyle w:val="Heading1"/>
        <w:jc w:val="left"/>
      </w:pPr>
      <w:r w:rsidRPr="00823C95">
        <w:lastRenderedPageBreak/>
        <w:t>Affirmative Action Statement</w:t>
      </w:r>
    </w:p>
    <w:p w14:paraId="47A9C0DD" w14:textId="77777777" w:rsidR="00743973" w:rsidRPr="00823C95" w:rsidRDefault="00743973" w:rsidP="00743973">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658C948" w14:textId="77777777" w:rsidR="00743973" w:rsidRPr="00823C95" w:rsidRDefault="00743973" w:rsidP="00743973">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72EB7AF" w14:textId="77777777" w:rsidR="00743973" w:rsidRPr="00823C95" w:rsidRDefault="00743973" w:rsidP="00743973">
      <w:pPr>
        <w:pStyle w:val="Heading2"/>
      </w:pPr>
      <w:r w:rsidRPr="00823C95">
        <w:t>Department of Special Services</w:t>
      </w:r>
    </w:p>
    <w:p w14:paraId="464976F6" w14:textId="77777777" w:rsidR="00743973" w:rsidRPr="00823C95" w:rsidRDefault="00743973" w:rsidP="00743973">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B6592AA" w14:textId="77777777" w:rsidR="00743973" w:rsidRPr="00823C95" w:rsidRDefault="00743973" w:rsidP="00743973">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2B82852" w14:textId="77777777" w:rsidR="00743973" w:rsidRPr="00823C95" w:rsidRDefault="00743973" w:rsidP="00743973">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DEFC433" w14:textId="77777777" w:rsidR="00743973" w:rsidRPr="00823C95" w:rsidRDefault="00743973" w:rsidP="00743973">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7246E6BD" w14:textId="77777777" w:rsidR="00743973" w:rsidRPr="00823C95" w:rsidRDefault="00743973" w:rsidP="00743973">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250ED793" w14:textId="77777777" w:rsidR="00743973" w:rsidRPr="00823C95" w:rsidRDefault="00743973" w:rsidP="00743973">
      <w:pPr>
        <w:pStyle w:val="Heading2"/>
      </w:pPr>
      <w:r w:rsidRPr="00823C95">
        <w:t>To Register with Special Services </w:t>
      </w:r>
    </w:p>
    <w:p w14:paraId="4570E011" w14:textId="77777777" w:rsidR="00743973" w:rsidRPr="00823C95" w:rsidRDefault="00743973" w:rsidP="00743973">
      <w:pPr>
        <w:rPr>
          <w:rFonts w:cs="Arial"/>
        </w:rPr>
      </w:pPr>
      <w:r w:rsidRPr="00823C95">
        <w:rPr>
          <w:rFonts w:cs="Arial"/>
        </w:rPr>
        <w:t>Students must follow these steps: </w:t>
      </w:r>
    </w:p>
    <w:p w14:paraId="1650D8D3" w14:textId="77777777" w:rsidR="00743973" w:rsidRPr="00823C95" w:rsidRDefault="00743973" w:rsidP="00743973">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69AD8AA" w14:textId="77777777" w:rsidR="00743973" w:rsidRPr="00823C95" w:rsidRDefault="00743973" w:rsidP="00743973">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D76CC92" w14:textId="77777777" w:rsidR="00743973" w:rsidRPr="00823C95" w:rsidRDefault="00743973" w:rsidP="00743973">
      <w:pPr>
        <w:numPr>
          <w:ilvl w:val="1"/>
          <w:numId w:val="2"/>
        </w:numPr>
        <w:rPr>
          <w:rFonts w:cs="Arial"/>
        </w:rPr>
      </w:pPr>
      <w:r w:rsidRPr="00823C95">
        <w:rPr>
          <w:rFonts w:cs="Arial"/>
        </w:rPr>
        <w:t>Diagnosis with written evaluation of current disability; </w:t>
      </w:r>
    </w:p>
    <w:p w14:paraId="0192DC94" w14:textId="77777777" w:rsidR="00743973" w:rsidRPr="00823C95" w:rsidRDefault="00743973" w:rsidP="00743973">
      <w:pPr>
        <w:numPr>
          <w:ilvl w:val="1"/>
          <w:numId w:val="2"/>
        </w:numPr>
        <w:rPr>
          <w:rFonts w:cs="Arial"/>
        </w:rPr>
      </w:pPr>
      <w:r w:rsidRPr="00823C95">
        <w:rPr>
          <w:rFonts w:cs="Arial"/>
        </w:rPr>
        <w:t>Date the student was diagnosed; </w:t>
      </w:r>
    </w:p>
    <w:p w14:paraId="7A24BDA7" w14:textId="77777777" w:rsidR="00743973" w:rsidRPr="00823C95" w:rsidRDefault="00743973" w:rsidP="00743973">
      <w:pPr>
        <w:numPr>
          <w:ilvl w:val="1"/>
          <w:numId w:val="2"/>
        </w:numPr>
        <w:rPr>
          <w:rFonts w:cs="Arial"/>
        </w:rPr>
      </w:pPr>
      <w:r w:rsidRPr="00823C95">
        <w:rPr>
          <w:rFonts w:cs="Arial"/>
        </w:rPr>
        <w:t>Tests used to reach diagnosis;  </w:t>
      </w:r>
    </w:p>
    <w:p w14:paraId="6E8CB018" w14:textId="77777777" w:rsidR="00743973" w:rsidRPr="00823C95" w:rsidRDefault="00743973" w:rsidP="00743973">
      <w:pPr>
        <w:numPr>
          <w:ilvl w:val="1"/>
          <w:numId w:val="2"/>
        </w:numPr>
        <w:rPr>
          <w:rFonts w:cs="Arial"/>
        </w:rPr>
      </w:pPr>
      <w:r w:rsidRPr="00823C95">
        <w:rPr>
          <w:rFonts w:cs="Arial"/>
        </w:rPr>
        <w:t>Credentials of the medical professional conducting evaluation </w:t>
      </w:r>
    </w:p>
    <w:p w14:paraId="264C7AD6" w14:textId="77777777" w:rsidR="00743973" w:rsidRPr="00823C95" w:rsidRDefault="00743973" w:rsidP="00743973">
      <w:pPr>
        <w:numPr>
          <w:ilvl w:val="1"/>
          <w:numId w:val="2"/>
        </w:numPr>
        <w:rPr>
          <w:rFonts w:cs="Arial"/>
        </w:rPr>
      </w:pPr>
      <w:r w:rsidRPr="00823C95">
        <w:rPr>
          <w:rFonts w:cs="Arial"/>
        </w:rPr>
        <w:t>How the disability affects daily activities and/or academic performance. </w:t>
      </w:r>
    </w:p>
    <w:p w14:paraId="5F112FCB" w14:textId="77777777" w:rsidR="00743973" w:rsidRPr="00823C95" w:rsidRDefault="00743973" w:rsidP="00743973">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31636699" w14:textId="77777777" w:rsidR="00743973" w:rsidRPr="00823C95" w:rsidRDefault="00743973" w:rsidP="00743973">
      <w:pPr>
        <w:pStyle w:val="ListParagraph"/>
        <w:numPr>
          <w:ilvl w:val="0"/>
          <w:numId w:val="3"/>
        </w:numPr>
        <w:rPr>
          <w:rFonts w:cs="Arial"/>
        </w:rPr>
      </w:pPr>
      <w:r w:rsidRPr="00823C95">
        <w:rPr>
          <w:rFonts w:cs="Arial"/>
        </w:rPr>
        <w:t>Contact the Special Services office to schedule a meeting with a staff member.</w:t>
      </w:r>
    </w:p>
    <w:p w14:paraId="4D63CBFB" w14:textId="77777777" w:rsidR="00743973" w:rsidRPr="00823C95" w:rsidRDefault="00743973" w:rsidP="00743973">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08953234" w14:textId="77777777" w:rsidR="00743973" w:rsidRPr="00823C95" w:rsidRDefault="00743973" w:rsidP="00743973">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5EB3BC72" w14:textId="77777777" w:rsidR="00743973" w:rsidRPr="00823C95" w:rsidRDefault="00743973" w:rsidP="00743973">
      <w:pPr>
        <w:pStyle w:val="Heading2"/>
      </w:pPr>
      <w:r w:rsidRPr="00823C95">
        <w:t>Accommodations </w:t>
      </w:r>
    </w:p>
    <w:p w14:paraId="30514D2A" w14:textId="77777777" w:rsidR="00743973" w:rsidRPr="00823C95" w:rsidRDefault="00743973" w:rsidP="00743973">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A09FF60" w14:textId="77777777" w:rsidR="00743973" w:rsidRPr="00823C95" w:rsidRDefault="00743973" w:rsidP="00743973">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C96EBC7" w14:textId="77777777" w:rsidR="00743973" w:rsidRPr="00823C95" w:rsidRDefault="00743973" w:rsidP="00743973">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34E00C55" w14:textId="77777777" w:rsidR="00743973" w:rsidRPr="00823C95" w:rsidRDefault="00743973" w:rsidP="00743973">
      <w:pPr>
        <w:pStyle w:val="Heading2"/>
      </w:pPr>
      <w:r w:rsidRPr="00823C95">
        <w:lastRenderedPageBreak/>
        <w:t>Confidentiality </w:t>
      </w:r>
    </w:p>
    <w:p w14:paraId="1245E6F5" w14:textId="77777777" w:rsidR="00743973" w:rsidRPr="00823C95" w:rsidRDefault="00743973" w:rsidP="00743973">
      <w:pPr>
        <w:rPr>
          <w:rFonts w:cs="Arial"/>
        </w:rPr>
      </w:pPr>
      <w:r w:rsidRPr="00823C95">
        <w:rPr>
          <w:rFonts w:cs="Arial"/>
        </w:rPr>
        <w:t>Students who register with the Department of Special Services are assured that their information is kept confidential.  </w:t>
      </w:r>
    </w:p>
    <w:p w14:paraId="1EBA02D2" w14:textId="77777777" w:rsidR="00743973" w:rsidRDefault="00743973" w:rsidP="00743973">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10B0682" w14:textId="77777777" w:rsidR="00743973" w:rsidRDefault="00743973" w:rsidP="00743973">
      <w:pPr>
        <w:spacing w:before="0" w:after="160" w:line="259" w:lineRule="auto"/>
        <w:rPr>
          <w:rFonts w:cs="Arial"/>
        </w:rPr>
      </w:pPr>
      <w:r>
        <w:rPr>
          <w:rFonts w:cs="Arial"/>
        </w:rPr>
        <w:br w:type="page"/>
      </w:r>
    </w:p>
    <w:p w14:paraId="7F05895B" w14:textId="77777777" w:rsidR="00743973" w:rsidRPr="00B63830" w:rsidRDefault="00743973" w:rsidP="00743973">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27369FD" w14:textId="77777777" w:rsidR="00743973" w:rsidRPr="00B63830" w:rsidRDefault="00743973" w:rsidP="00743973">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70B5C12F" w14:textId="77777777" w:rsidR="00743973" w:rsidRDefault="00743973" w:rsidP="00743973">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07C123B6" w14:textId="77777777" w:rsidR="00743973" w:rsidRDefault="00743973" w:rsidP="00743973">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743973" w:rsidRPr="00B63830" w14:paraId="72E0108F"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783A582" w14:textId="77777777" w:rsidR="00743973" w:rsidRPr="00B63830" w:rsidRDefault="00743973"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0711C08" w14:textId="77777777" w:rsidR="00743973" w:rsidRPr="00B63830" w:rsidRDefault="0074397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E4D3465" w14:textId="77777777" w:rsidR="00743973" w:rsidRPr="00B63830" w:rsidRDefault="0074397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743973" w:rsidRPr="00B63830" w14:paraId="512BA573"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8E8202F"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C2763A6"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E26901A" w14:textId="77777777" w:rsidR="00743973" w:rsidRPr="00B63830" w:rsidRDefault="00743973" w:rsidP="00586837">
            <w:pPr>
              <w:spacing w:before="0" w:after="0" w:line="240" w:lineRule="auto"/>
              <w:jc w:val="center"/>
              <w:rPr>
                <w:rFonts w:ascii="Calibri" w:eastAsia="Calibri" w:hAnsi="Calibri"/>
                <w:szCs w:val="20"/>
                <w:lang w:eastAsia="en-US"/>
              </w:rPr>
            </w:pPr>
          </w:p>
          <w:p w14:paraId="18730326"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F4C8A25" w14:textId="77777777" w:rsidR="00743973" w:rsidRDefault="0074397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65C6FE8" w14:textId="77777777" w:rsidR="00743973" w:rsidRPr="00B63830" w:rsidRDefault="00743973" w:rsidP="00586837">
            <w:pPr>
              <w:spacing w:before="0" w:after="0" w:line="240" w:lineRule="auto"/>
              <w:jc w:val="center"/>
              <w:rPr>
                <w:rFonts w:ascii="Calibri" w:eastAsia="Calibri" w:hAnsi="Calibri"/>
                <w:sz w:val="10"/>
                <w:szCs w:val="10"/>
                <w:lang w:eastAsia="en-US"/>
              </w:rPr>
            </w:pPr>
          </w:p>
          <w:p w14:paraId="233DCF2E" w14:textId="77777777" w:rsidR="00743973" w:rsidRDefault="0074397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541DE85" w14:textId="77777777" w:rsidR="00743973" w:rsidRPr="003E4107" w:rsidRDefault="00743973" w:rsidP="00586837">
            <w:pPr>
              <w:spacing w:before="0" w:after="0" w:line="240" w:lineRule="auto"/>
              <w:jc w:val="center"/>
              <w:rPr>
                <w:rFonts w:ascii="Calibri" w:eastAsia="Calibri" w:hAnsi="Calibri"/>
                <w:sz w:val="10"/>
                <w:szCs w:val="10"/>
                <w:lang w:eastAsia="en-US"/>
              </w:rPr>
            </w:pPr>
          </w:p>
          <w:p w14:paraId="1B0260BF" w14:textId="77777777" w:rsidR="00743973" w:rsidRPr="00B63830" w:rsidRDefault="0074397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5463D5A" w14:textId="77777777" w:rsidR="00743973" w:rsidRPr="00B63830" w:rsidRDefault="00743973"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2AC87DA" w14:textId="77777777" w:rsidR="00743973"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1FE48E17" w14:textId="77777777" w:rsidR="00743973" w:rsidRPr="00B63830" w:rsidRDefault="00743973" w:rsidP="00586837">
            <w:pPr>
              <w:spacing w:before="0" w:after="0" w:line="240" w:lineRule="auto"/>
              <w:jc w:val="center"/>
              <w:rPr>
                <w:rFonts w:ascii="Calibri" w:eastAsia="Calibri" w:hAnsi="Calibri"/>
                <w:b/>
                <w:sz w:val="24"/>
                <w:szCs w:val="24"/>
                <w:lang w:eastAsia="en-US"/>
              </w:rPr>
            </w:pPr>
          </w:p>
          <w:p w14:paraId="1E2BBE4E" w14:textId="77777777" w:rsidR="00743973"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0F3087C9" w14:textId="77777777" w:rsidR="00743973" w:rsidRPr="00B63830" w:rsidRDefault="00743973" w:rsidP="00586837">
            <w:pPr>
              <w:spacing w:before="0" w:after="0" w:line="240" w:lineRule="auto"/>
              <w:jc w:val="center"/>
              <w:rPr>
                <w:rFonts w:ascii="Calibri" w:eastAsia="Calibri" w:hAnsi="Calibri"/>
                <w:b/>
                <w:sz w:val="24"/>
                <w:szCs w:val="24"/>
                <w:lang w:eastAsia="en-US"/>
              </w:rPr>
            </w:pPr>
          </w:p>
          <w:p w14:paraId="53D5EE81"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743973" w:rsidRPr="00B63830" w14:paraId="1C3DF613"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2771DC6"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7EBDE51B"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60B3524"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7029B7F"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0A13FC74"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BC8B326" w14:textId="77777777" w:rsidR="00743973" w:rsidRPr="00833054" w:rsidRDefault="0074397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1D8D9DCF" w14:textId="77777777" w:rsidR="00743973" w:rsidRPr="00833054" w:rsidRDefault="0074397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5CEBE258" w14:textId="77777777" w:rsidR="00743973" w:rsidRPr="00833054" w:rsidRDefault="00743973" w:rsidP="00586837">
            <w:pPr>
              <w:spacing w:before="0" w:after="0" w:line="240" w:lineRule="auto"/>
              <w:jc w:val="center"/>
              <w:rPr>
                <w:rFonts w:ascii="Calibri" w:eastAsia="Calibri" w:hAnsi="Calibri"/>
                <w:b/>
                <w:color w:val="FF0000"/>
                <w:sz w:val="10"/>
                <w:szCs w:val="10"/>
                <w:lang w:eastAsia="en-US"/>
              </w:rPr>
            </w:pPr>
          </w:p>
          <w:p w14:paraId="60572322" w14:textId="77777777" w:rsidR="00743973" w:rsidRPr="00B63830" w:rsidRDefault="00743973"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9EBAF0A" w14:textId="77777777" w:rsidR="00743973" w:rsidRPr="00B63830" w:rsidRDefault="00743973"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1A6C463" w14:textId="77777777" w:rsidR="00743973" w:rsidRPr="00833054" w:rsidRDefault="00743973"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5C8D4D1" w14:textId="77777777" w:rsidR="00743973" w:rsidRPr="00833054" w:rsidRDefault="00743973"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499415F" w14:textId="77777777" w:rsidR="00743973" w:rsidRPr="00833054" w:rsidRDefault="00743973" w:rsidP="00586837">
            <w:pPr>
              <w:spacing w:before="0" w:after="0" w:line="240" w:lineRule="auto"/>
              <w:jc w:val="center"/>
              <w:rPr>
                <w:rFonts w:ascii="Calibri" w:eastAsia="Calibri" w:hAnsi="Calibri"/>
                <w:sz w:val="52"/>
                <w:szCs w:val="52"/>
                <w:lang w:eastAsia="en-US"/>
              </w:rPr>
            </w:pPr>
          </w:p>
          <w:p w14:paraId="666DC57B" w14:textId="77777777" w:rsidR="00743973" w:rsidRPr="00B63830" w:rsidRDefault="00743973"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743973" w:rsidRPr="00B63830" w14:paraId="2F73CA03"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015EA15"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3C1DD6E"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2F588879"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27856AE" w14:textId="77777777" w:rsidR="00743973" w:rsidRPr="00B63830" w:rsidRDefault="00743973"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DA2516B"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71A2142" w14:textId="77777777" w:rsidR="00743973" w:rsidRDefault="0074397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307A9AF9" w14:textId="77777777" w:rsidR="00743973" w:rsidRPr="00B63830" w:rsidRDefault="00743973" w:rsidP="00586837">
            <w:pPr>
              <w:spacing w:before="0" w:after="0" w:line="240" w:lineRule="auto"/>
              <w:jc w:val="center"/>
              <w:rPr>
                <w:rFonts w:ascii="Calibri" w:eastAsia="Calibri" w:hAnsi="Calibri"/>
                <w:b/>
                <w:sz w:val="18"/>
                <w:lang w:eastAsia="en-US"/>
              </w:rPr>
            </w:pPr>
          </w:p>
          <w:p w14:paraId="6A980C8F" w14:textId="77777777" w:rsidR="00743973" w:rsidRPr="00B63830" w:rsidRDefault="0074397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6626BC70"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7180381" w14:textId="77777777" w:rsidR="00743973" w:rsidRPr="00B63830" w:rsidRDefault="0074397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F4B5E80"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9755168"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4C0D4D3" w14:textId="77777777" w:rsidR="00743973" w:rsidRDefault="00743973"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54B19EE2" w14:textId="77777777" w:rsidR="00743973" w:rsidRPr="00B63830" w:rsidRDefault="00743973" w:rsidP="00586837">
            <w:pPr>
              <w:spacing w:before="0" w:after="0" w:line="240" w:lineRule="auto"/>
              <w:jc w:val="center"/>
              <w:rPr>
                <w:rFonts w:ascii="Calibri" w:eastAsia="Calibri" w:hAnsi="Calibri"/>
                <w:szCs w:val="20"/>
                <w:lang w:eastAsia="en-US"/>
              </w:rPr>
            </w:pPr>
          </w:p>
          <w:p w14:paraId="3D292416"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6E5A2D9E"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494E722" w14:textId="77777777" w:rsidR="00743973" w:rsidRPr="00B63830" w:rsidRDefault="00743973"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743973" w:rsidRPr="00B63830" w14:paraId="0C297DA9"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8199395"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583F8156"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1751A1A7"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31B33C3D"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41ACF52"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3904A7D"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6186851C" w14:textId="77777777" w:rsidR="00743973" w:rsidRPr="00B63830" w:rsidRDefault="00743973" w:rsidP="00586837">
            <w:pPr>
              <w:spacing w:before="0" w:after="0" w:line="240" w:lineRule="auto"/>
              <w:jc w:val="center"/>
              <w:rPr>
                <w:rFonts w:ascii="Calibri" w:eastAsia="Calibri" w:hAnsi="Calibri"/>
                <w:sz w:val="8"/>
                <w:szCs w:val="8"/>
                <w:lang w:eastAsia="en-US"/>
              </w:rPr>
            </w:pPr>
          </w:p>
          <w:p w14:paraId="00AD6C00"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1814F3E6"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6DD855C" w14:textId="77777777" w:rsidR="00743973"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B5218B7" w14:textId="77777777" w:rsidR="00743973" w:rsidRDefault="00743973" w:rsidP="00586837">
            <w:pPr>
              <w:spacing w:before="0" w:after="0" w:line="240" w:lineRule="auto"/>
              <w:jc w:val="center"/>
              <w:rPr>
                <w:rFonts w:ascii="Calibri" w:eastAsia="Calibri" w:hAnsi="Calibri"/>
                <w:b/>
                <w:szCs w:val="20"/>
                <w:lang w:eastAsia="en-US"/>
              </w:rPr>
            </w:pPr>
          </w:p>
          <w:p w14:paraId="078AF123" w14:textId="77777777" w:rsidR="00743973" w:rsidRPr="00B63830" w:rsidRDefault="00743973" w:rsidP="00586837">
            <w:pPr>
              <w:spacing w:before="0" w:after="0" w:line="240" w:lineRule="auto"/>
              <w:jc w:val="center"/>
              <w:rPr>
                <w:rFonts w:ascii="Calibri" w:eastAsia="Calibri" w:hAnsi="Calibri"/>
                <w:b/>
                <w:szCs w:val="20"/>
                <w:lang w:eastAsia="en-US"/>
              </w:rPr>
            </w:pPr>
          </w:p>
          <w:p w14:paraId="78517838"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87DF87F"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43B31F97" w14:textId="77777777" w:rsidR="00743973"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9CFBC92" w14:textId="77777777" w:rsidR="00743973" w:rsidRDefault="00743973" w:rsidP="00586837">
            <w:pPr>
              <w:spacing w:before="0" w:after="0" w:line="240" w:lineRule="auto"/>
              <w:jc w:val="center"/>
              <w:rPr>
                <w:rFonts w:ascii="Calibri" w:eastAsia="Calibri" w:hAnsi="Calibri"/>
                <w:b/>
                <w:szCs w:val="20"/>
                <w:lang w:eastAsia="en-US"/>
              </w:rPr>
            </w:pPr>
          </w:p>
          <w:p w14:paraId="41820947" w14:textId="77777777" w:rsidR="00743973" w:rsidRPr="00B63830" w:rsidRDefault="00743973" w:rsidP="00586837">
            <w:pPr>
              <w:spacing w:before="0" w:after="0" w:line="240" w:lineRule="auto"/>
              <w:jc w:val="center"/>
              <w:rPr>
                <w:rFonts w:ascii="Calibri" w:eastAsia="Calibri" w:hAnsi="Calibri"/>
                <w:b/>
                <w:sz w:val="10"/>
                <w:szCs w:val="10"/>
                <w:lang w:eastAsia="en-US"/>
              </w:rPr>
            </w:pPr>
          </w:p>
          <w:p w14:paraId="34AAB346"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3AC4D0A" w14:textId="77777777" w:rsidR="00743973" w:rsidRPr="00B63830" w:rsidRDefault="00743973"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54142C7B" w14:textId="77777777" w:rsidR="00743973" w:rsidRPr="00B63830" w:rsidRDefault="00743973"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24FB5F33"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A7FEC4F" w14:textId="77777777" w:rsidR="00743973" w:rsidRPr="00B63830" w:rsidRDefault="00743973" w:rsidP="00586837">
            <w:pPr>
              <w:spacing w:before="0" w:after="0" w:line="240" w:lineRule="auto"/>
              <w:jc w:val="center"/>
              <w:rPr>
                <w:rFonts w:ascii="Calibri" w:eastAsia="Calibri" w:hAnsi="Calibri"/>
                <w:sz w:val="18"/>
                <w:lang w:eastAsia="en-US"/>
              </w:rPr>
            </w:pPr>
          </w:p>
          <w:p w14:paraId="78998928" w14:textId="77777777" w:rsidR="00743973" w:rsidRPr="00B63830" w:rsidRDefault="00743973"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52FCA67" w14:textId="77777777" w:rsidR="00743973"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574A976" w14:textId="77777777" w:rsidR="00743973" w:rsidRDefault="00743973" w:rsidP="00586837">
            <w:pPr>
              <w:spacing w:before="0" w:after="0" w:line="240" w:lineRule="auto"/>
              <w:jc w:val="center"/>
              <w:rPr>
                <w:rFonts w:ascii="Calibri" w:eastAsia="Calibri" w:hAnsi="Calibri"/>
                <w:b/>
                <w:szCs w:val="20"/>
                <w:lang w:eastAsia="en-US"/>
              </w:rPr>
            </w:pPr>
          </w:p>
          <w:p w14:paraId="6795D7C0" w14:textId="77777777" w:rsidR="00743973" w:rsidRPr="00B63830" w:rsidRDefault="00743973" w:rsidP="00586837">
            <w:pPr>
              <w:spacing w:before="0" w:after="0" w:line="240" w:lineRule="auto"/>
              <w:jc w:val="center"/>
              <w:rPr>
                <w:rFonts w:ascii="Calibri" w:eastAsia="Calibri" w:hAnsi="Calibri"/>
                <w:szCs w:val="20"/>
                <w:lang w:eastAsia="en-US"/>
              </w:rPr>
            </w:pPr>
          </w:p>
          <w:p w14:paraId="7A82D051"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77E9F07" w14:textId="77777777" w:rsidR="00743973"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FA77CBA" w14:textId="77777777" w:rsidR="00743973" w:rsidRDefault="00743973" w:rsidP="00586837">
            <w:pPr>
              <w:spacing w:before="0" w:after="0" w:line="240" w:lineRule="auto"/>
              <w:jc w:val="center"/>
              <w:rPr>
                <w:rFonts w:ascii="Calibri" w:eastAsia="Calibri" w:hAnsi="Calibri"/>
                <w:b/>
                <w:szCs w:val="20"/>
                <w:lang w:eastAsia="en-US"/>
              </w:rPr>
            </w:pPr>
          </w:p>
          <w:p w14:paraId="7768B359" w14:textId="77777777" w:rsidR="00743973" w:rsidRPr="00B63830" w:rsidRDefault="00743973" w:rsidP="00586837">
            <w:pPr>
              <w:spacing w:before="0" w:after="0" w:line="240" w:lineRule="auto"/>
              <w:jc w:val="center"/>
              <w:rPr>
                <w:rFonts w:ascii="Calibri" w:eastAsia="Calibri" w:hAnsi="Calibri"/>
                <w:b/>
                <w:szCs w:val="20"/>
                <w:lang w:eastAsia="en-US"/>
              </w:rPr>
            </w:pPr>
          </w:p>
          <w:p w14:paraId="06B55DFD"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6E361BD"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743973" w:rsidRPr="00B63830" w14:paraId="2D85453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EC66262"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0BB926F7" w14:textId="77777777" w:rsidR="00743973" w:rsidRPr="00B63830" w:rsidRDefault="00743973"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591891A5" w14:textId="77777777" w:rsidR="00743973" w:rsidRPr="00B63830" w:rsidRDefault="0074397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E983E76" w14:textId="77777777" w:rsidR="00743973" w:rsidRPr="00B63830" w:rsidRDefault="00743973"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1A0EE56"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5E43F4C"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405D0939" w14:textId="77777777" w:rsidR="00743973" w:rsidRPr="00B63830" w:rsidRDefault="00743973"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C37958A"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B70B411" w14:textId="77777777" w:rsidR="00743973" w:rsidRPr="00B63830" w:rsidRDefault="0074397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DB896FC" w14:textId="77777777" w:rsidR="00743973" w:rsidRPr="00B63830" w:rsidRDefault="00743973"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743973">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4A08F88D" w:rsidR="00C54535" w:rsidRDefault="004A5FD9" w:rsidP="00A128E8">
        <w:pPr>
          <w:pStyle w:val="Footer"/>
          <w:ind w:left="720"/>
          <w:rPr>
            <w:noProof/>
          </w:rPr>
        </w:pPr>
        <w:r>
          <w:fldChar w:fldCharType="begin"/>
        </w:r>
        <w:r>
          <w:instrText xml:space="preserve"> PAGE   \* MERGEFORMAT </w:instrText>
        </w:r>
        <w:r>
          <w:fldChar w:fldCharType="separate"/>
        </w:r>
        <w:r w:rsidR="00CC059F">
          <w:rPr>
            <w:noProof/>
          </w:rPr>
          <w:t>2</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743973"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
  </w:num>
  <w:num w:numId="5">
    <w:abstractNumId w:val="16"/>
  </w:num>
  <w:num w:numId="6">
    <w:abstractNumId w:val="15"/>
  </w:num>
  <w:num w:numId="7">
    <w:abstractNumId w:val="2"/>
  </w:num>
  <w:num w:numId="8">
    <w:abstractNumId w:val="0"/>
  </w:num>
  <w:num w:numId="9">
    <w:abstractNumId w:val="7"/>
  </w:num>
  <w:num w:numId="10">
    <w:abstractNumId w:val="11"/>
  </w:num>
  <w:num w:numId="11">
    <w:abstractNumId w:val="5"/>
  </w:num>
  <w:num w:numId="12">
    <w:abstractNumId w:val="12"/>
  </w:num>
  <w:num w:numId="13">
    <w:abstractNumId w:val="6"/>
  </w:num>
  <w:num w:numId="14">
    <w:abstractNumId w:val="18"/>
  </w:num>
  <w:num w:numId="15">
    <w:abstractNumId w:val="14"/>
  </w:num>
  <w:num w:numId="16">
    <w:abstractNumId w:val="3"/>
  </w:num>
  <w:num w:numId="17">
    <w:abstractNumId w:val="4"/>
  </w:num>
  <w:num w:numId="18">
    <w:abstractNumId w:val="13"/>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43973"/>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97D89"/>
    <w:rsid w:val="008A705F"/>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59F"/>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7439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D347384-7B07-0844-A3E5-435A0CEBDB24}">
  <ds:schemaRefs>
    <ds:schemaRef ds:uri="http://schemas.openxmlformats.org/officeDocument/2006/bibliography"/>
  </ds:schemaRefs>
</ds:datastoreItem>
</file>

<file path=customXml/itemProps2.xml><?xml version="1.0" encoding="utf-8"?>
<ds:datastoreItem xmlns:ds="http://schemas.openxmlformats.org/officeDocument/2006/customXml" ds:itemID="{3E17F19E-90CE-4F4A-918F-B272258DE9D8}"/>
</file>

<file path=customXml/itemProps3.xml><?xml version="1.0" encoding="utf-8"?>
<ds:datastoreItem xmlns:ds="http://schemas.openxmlformats.org/officeDocument/2006/customXml" ds:itemID="{2FFA6D41-A5A9-4217-81B9-6DBA2F5317E4}"/>
</file>

<file path=customXml/itemProps4.xml><?xml version="1.0" encoding="utf-8"?>
<ds:datastoreItem xmlns:ds="http://schemas.openxmlformats.org/officeDocument/2006/customXml" ds:itemID="{1E28BF54-664F-4DEB-91D2-A23AF8323E38}"/>
</file>

<file path=docProps/app.xml><?xml version="1.0" encoding="utf-8"?>
<Properties xmlns="http://schemas.openxmlformats.org/officeDocument/2006/extended-properties" xmlns:vt="http://schemas.openxmlformats.org/officeDocument/2006/docPropsVTypes">
  <Template>Normal.dotm</Template>
  <TotalTime>45</TotalTime>
  <Pages>12</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2019-01-22T20:04:00Z</dcterms:created>
  <dcterms:modified xsi:type="dcterms:W3CDTF">2020-04-28T12:45:00Z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