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5EEEB" w14:textId="009EDB76" w:rsidR="00BE4DD2" w:rsidRDefault="00897D89" w:rsidP="00CC059F">
      <w:pPr>
        <w:pStyle w:val="Heading1"/>
        <w:rPr>
          <w:rFonts w:cs="Arial"/>
        </w:rPr>
      </w:pPr>
      <w:r>
        <w:rPr>
          <w:rFonts w:cs="Arial"/>
          <w:noProof/>
        </w:rPr>
        <w:drawing>
          <wp:inline distT="0" distB="0" distL="0" distR="0" wp14:anchorId="6955FB3C" wp14:editId="3C7DF34D">
            <wp:extent cx="2400300" cy="660400"/>
            <wp:effectExtent l="0" t="0" r="0" b="0"/>
            <wp:docPr id="1" name="Picture 1" descr="R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J Logo.png"/>
                    <pic:cNvPicPr/>
                  </pic:nvPicPr>
                  <pic:blipFill>
                    <a:blip r:embed="rId8">
                      <a:extLst>
                        <a:ext uri="{28A0092B-C50C-407E-A947-70E740481C1C}">
                          <a14:useLocalDpi xmlns:a14="http://schemas.microsoft.com/office/drawing/2010/main" val="0"/>
                        </a:ext>
                      </a:extLst>
                    </a:blip>
                    <a:stretch>
                      <a:fillRect/>
                    </a:stretch>
                  </pic:blipFill>
                  <pic:spPr>
                    <a:xfrm>
                      <a:off x="0" y="0"/>
                      <a:ext cx="2400300" cy="660400"/>
                    </a:xfrm>
                    <a:prstGeom prst="rect">
                      <a:avLst/>
                    </a:prstGeom>
                  </pic:spPr>
                </pic:pic>
              </a:graphicData>
            </a:graphic>
          </wp:inline>
        </w:drawing>
      </w:r>
    </w:p>
    <w:p w14:paraId="7EB88671" w14:textId="05C39C3A" w:rsidR="00BE4DD2" w:rsidRDefault="00CC059F" w:rsidP="00CC059F">
      <w:pPr>
        <w:pStyle w:val="Heading1"/>
        <w:spacing w:line="240" w:lineRule="auto"/>
        <w:rPr>
          <w:rFonts w:cs="Arial"/>
          <w:b w:val="0"/>
        </w:rPr>
      </w:pPr>
      <w:r w:rsidRPr="00CC059F">
        <w:rPr>
          <w:rFonts w:cs="Arial"/>
          <w:b w:val="0"/>
        </w:rPr>
        <w:t>Business</w:t>
      </w:r>
      <w:r>
        <w:rPr>
          <w:rFonts w:cs="Arial"/>
          <w:b w:val="0"/>
        </w:rPr>
        <w:t xml:space="preserve"> Studies Division</w:t>
      </w:r>
    </w:p>
    <w:p w14:paraId="3C4D19FD" w14:textId="11EBB911" w:rsidR="00CC059F" w:rsidRDefault="00CC059F" w:rsidP="00CC059F">
      <w:pPr>
        <w:spacing w:line="240" w:lineRule="auto"/>
        <w:jc w:val="center"/>
      </w:pPr>
      <w:r>
        <w:t>1400 Tanyard Road, Sewell, NJ 08080</w:t>
      </w:r>
    </w:p>
    <w:p w14:paraId="50B73AA9" w14:textId="075C84DE" w:rsidR="00BE4DD2" w:rsidRDefault="00CC059F" w:rsidP="00CC059F">
      <w:pPr>
        <w:spacing w:line="240" w:lineRule="auto"/>
        <w:jc w:val="center"/>
        <w:rPr>
          <w:rFonts w:cs="Arial"/>
        </w:rPr>
      </w:pPr>
      <w:r>
        <w:t>856-468-5000</w:t>
      </w:r>
    </w:p>
    <w:p w14:paraId="4773F2F1" w14:textId="6BD67CC1" w:rsidR="201BECFA" w:rsidRPr="00823C95" w:rsidRDefault="003964F4" w:rsidP="201BECFA">
      <w:pPr>
        <w:pStyle w:val="Heading1"/>
        <w:jc w:val="left"/>
        <w:rPr>
          <w:rFonts w:cs="Arial"/>
        </w:rPr>
      </w:pPr>
      <w:r>
        <w:rPr>
          <w:rFonts w:cs="Arial"/>
        </w:rPr>
        <w:t>BUS 202</w:t>
      </w:r>
      <w:r w:rsidR="1728BCD8" w:rsidRPr="00823C95">
        <w:rPr>
          <w:rFonts w:cs="Arial"/>
        </w:rPr>
        <w:t xml:space="preserve">: </w:t>
      </w:r>
      <w:r w:rsidR="00C54535">
        <w:rPr>
          <w:rFonts w:cs="Arial"/>
        </w:rPr>
        <w:t>Managerial Accounting</w:t>
      </w:r>
    </w:p>
    <w:p w14:paraId="1D7C6BBF" w14:textId="39F62032" w:rsidR="001A18DC" w:rsidRPr="00823C95" w:rsidRDefault="1728BCD8" w:rsidP="004C5523">
      <w:pPr>
        <w:rPr>
          <w:rFonts w:cs="Arial"/>
        </w:rPr>
      </w:pPr>
      <w:r w:rsidRPr="00823C95">
        <w:rPr>
          <w:rFonts w:cs="Arial"/>
        </w:rPr>
        <w:t>Syllabus</w:t>
      </w:r>
    </w:p>
    <w:p w14:paraId="493E348F" w14:textId="42FC12B0" w:rsidR="001A18DC" w:rsidRPr="00823C95" w:rsidRDefault="008A705F" w:rsidP="1728BCD8">
      <w:pPr>
        <w:rPr>
          <w:rFonts w:eastAsia="Arial" w:cs="Arial"/>
        </w:rPr>
      </w:pPr>
      <w:r>
        <w:rPr>
          <w:rFonts w:cs="Arial"/>
        </w:rPr>
        <w:t xml:space="preserve">Lecture Hours/Credits: </w:t>
      </w:r>
      <w:r w:rsidR="00C54535">
        <w:rPr>
          <w:rFonts w:cs="Arial"/>
        </w:rPr>
        <w:t>3</w:t>
      </w:r>
      <w:r w:rsidR="1728BCD8" w:rsidRPr="00823C95">
        <w:rPr>
          <w:rFonts w:cs="Arial"/>
        </w:rPr>
        <w:t>/</w:t>
      </w:r>
      <w:r w:rsidR="00C54535">
        <w:rPr>
          <w:rFonts w:cs="Arial"/>
        </w:rPr>
        <w:t>3</w:t>
      </w:r>
    </w:p>
    <w:p w14:paraId="0D60CA0E" w14:textId="5D9FF06C" w:rsidR="00A37869" w:rsidRPr="00823C95" w:rsidRDefault="1728BCD8" w:rsidP="00A37869">
      <w:pPr>
        <w:pStyle w:val="Heading2"/>
      </w:pPr>
      <w:r w:rsidRPr="00823C95">
        <w:t>Catalog Description</w:t>
      </w:r>
    </w:p>
    <w:p w14:paraId="5A27344C" w14:textId="6B69DF29" w:rsidR="00C54535" w:rsidRDefault="1728BCD8" w:rsidP="00C54535">
      <w:pPr>
        <w:rPr>
          <w:rFonts w:cs="Arial"/>
          <w:i/>
          <w:iCs/>
        </w:rPr>
      </w:pPr>
      <w:r w:rsidRPr="00823C95">
        <w:rPr>
          <w:rFonts w:cs="Arial"/>
          <w:i/>
          <w:iCs/>
        </w:rPr>
        <w:t xml:space="preserve">Prerequisite: </w:t>
      </w:r>
      <w:r w:rsidR="003964F4" w:rsidRPr="003964F4">
        <w:rPr>
          <w:rFonts w:cs="Arial"/>
          <w:i/>
          <w:iCs/>
        </w:rPr>
        <w:t>BUS 103, CIS 102 and MAT 101 or equivalent</w:t>
      </w:r>
      <w:r w:rsidRPr="003964F4">
        <w:rPr>
          <w:rFonts w:cs="Arial"/>
          <w:i/>
          <w:iCs/>
        </w:rPr>
        <w:t xml:space="preserve"> </w:t>
      </w:r>
    </w:p>
    <w:p w14:paraId="4E719C0B" w14:textId="77777777" w:rsidR="003964F4" w:rsidRDefault="003964F4" w:rsidP="003964F4">
      <w:pPr>
        <w:spacing w:after="0" w:line="240" w:lineRule="auto"/>
        <w:jc w:val="both"/>
        <w:rPr>
          <w:rFonts w:cs="Arial"/>
          <w:color w:val="000000" w:themeColor="text1"/>
        </w:rPr>
      </w:pPr>
      <w:r w:rsidRPr="00525B1A">
        <w:rPr>
          <w:rFonts w:cs="Arial"/>
          <w:color w:val="000000" w:themeColor="text1"/>
        </w:rPr>
        <w:t>This course provides an expanded treatment of theory and accounting principles underlying the preparation of financial statements. Emphasis is on current assets and current liabilities.</w:t>
      </w:r>
    </w:p>
    <w:p w14:paraId="42EC1847" w14:textId="553EC94D" w:rsidR="001A18DC" w:rsidRPr="00C54535" w:rsidRDefault="1728BCD8" w:rsidP="00C54535">
      <w:pPr>
        <w:rPr>
          <w:b/>
        </w:rPr>
      </w:pPr>
      <w:r w:rsidRPr="00C54535">
        <w:rPr>
          <w:b/>
        </w:rPr>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8A705F">
      <w:pPr>
        <w:pStyle w:val="ListParagraph"/>
        <w:numPr>
          <w:ilvl w:val="0"/>
          <w:numId w:val="5"/>
        </w:numPr>
        <w:rPr>
          <w:rFonts w:cs="Arial"/>
        </w:rPr>
      </w:pPr>
      <w:r w:rsidRPr="00823C95">
        <w:rPr>
          <w:rFonts w:cs="Arial"/>
        </w:rPr>
        <w:t>Exams</w:t>
      </w:r>
    </w:p>
    <w:p w14:paraId="34F52840" w14:textId="43A52FCC" w:rsidR="00BC4D23" w:rsidRPr="00823C95" w:rsidRDefault="1728BCD8" w:rsidP="008A705F">
      <w:pPr>
        <w:pStyle w:val="ListParagraph"/>
        <w:numPr>
          <w:ilvl w:val="0"/>
          <w:numId w:val="5"/>
        </w:numPr>
        <w:rPr>
          <w:rFonts w:cs="Arial"/>
        </w:rPr>
      </w:pPr>
      <w:r w:rsidRPr="00823C95">
        <w:rPr>
          <w:rFonts w:cs="Arial"/>
        </w:rPr>
        <w:t>Quizzes</w:t>
      </w:r>
    </w:p>
    <w:p w14:paraId="332779EE" w14:textId="475BD807" w:rsidR="00BC4D23" w:rsidRPr="00823C95" w:rsidRDefault="1728BCD8" w:rsidP="008A705F">
      <w:pPr>
        <w:pStyle w:val="ListParagraph"/>
        <w:numPr>
          <w:ilvl w:val="0"/>
          <w:numId w:val="5"/>
        </w:numPr>
        <w:rPr>
          <w:rFonts w:cs="Arial"/>
        </w:rPr>
      </w:pPr>
      <w:r w:rsidRPr="00823C95">
        <w:rPr>
          <w:rFonts w:cs="Arial"/>
        </w:rPr>
        <w:t>Terms Identification</w:t>
      </w:r>
    </w:p>
    <w:p w14:paraId="297B5A1D" w14:textId="5287DEBC" w:rsidR="00BC4D23" w:rsidRPr="00823C95" w:rsidRDefault="1728BCD8" w:rsidP="008A705F">
      <w:pPr>
        <w:pStyle w:val="ListParagraph"/>
        <w:numPr>
          <w:ilvl w:val="0"/>
          <w:numId w:val="5"/>
        </w:numPr>
        <w:rPr>
          <w:rFonts w:cs="Arial"/>
        </w:rPr>
      </w:pPr>
      <w:r w:rsidRPr="00823C95">
        <w:rPr>
          <w:rFonts w:cs="Arial"/>
        </w:rPr>
        <w:t>Essays</w:t>
      </w:r>
    </w:p>
    <w:p w14:paraId="4178B26E" w14:textId="6D8DC4CA" w:rsidR="00BC4D23" w:rsidRPr="00823C95" w:rsidRDefault="1728BCD8" w:rsidP="008A705F">
      <w:pPr>
        <w:pStyle w:val="ListParagraph"/>
        <w:numPr>
          <w:ilvl w:val="0"/>
          <w:numId w:val="5"/>
        </w:numPr>
        <w:rPr>
          <w:rFonts w:cs="Arial"/>
        </w:rPr>
      </w:pPr>
      <w:r w:rsidRPr="00823C95">
        <w:rPr>
          <w:rFonts w:cs="Arial"/>
        </w:rPr>
        <w:t xml:space="preserve">Presentations </w:t>
      </w:r>
    </w:p>
    <w:p w14:paraId="72C363B4" w14:textId="0A307CB6" w:rsidR="00BC4D23" w:rsidRPr="00823C95" w:rsidRDefault="1728BCD8" w:rsidP="008A705F">
      <w:pPr>
        <w:pStyle w:val="ListParagraph"/>
        <w:numPr>
          <w:ilvl w:val="0"/>
          <w:numId w:val="5"/>
        </w:numPr>
        <w:rPr>
          <w:rFonts w:cs="Arial"/>
        </w:rPr>
      </w:pPr>
      <w:r w:rsidRPr="00823C95">
        <w:rPr>
          <w:rFonts w:cs="Arial"/>
        </w:rPr>
        <w:t>Group Discussions</w:t>
      </w:r>
    </w:p>
    <w:p w14:paraId="012D10B0" w14:textId="320DF8BA" w:rsidR="00BC4D23" w:rsidRPr="00823C95" w:rsidRDefault="1728BCD8" w:rsidP="008A705F">
      <w:pPr>
        <w:pStyle w:val="ListParagraph"/>
        <w:numPr>
          <w:ilvl w:val="0"/>
          <w:numId w:val="5"/>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78B0507C" w14:textId="7D63C0AB" w:rsidR="00BC4D23" w:rsidRPr="00823C95" w:rsidRDefault="1728BCD8" w:rsidP="1728BCD8">
      <w:pPr>
        <w:rPr>
          <w:rFonts w:eastAsia="Arial" w:cs="Arial"/>
        </w:rPr>
      </w:pPr>
      <w:r w:rsidRPr="00823C95">
        <w:rPr>
          <w:rFonts w:cs="Arial"/>
        </w:rPr>
        <w:t>The grading scale for each course and section will be determined by the instructor and distributed the first day of class.</w:t>
      </w:r>
    </w:p>
    <w:p w14:paraId="35272A79" w14:textId="77777777" w:rsidR="000E0A74" w:rsidRPr="00823C95" w:rsidRDefault="000E0A74">
      <w:pPr>
        <w:spacing w:before="0" w:after="160" w:line="259" w:lineRule="auto"/>
        <w:rPr>
          <w:rFonts w:eastAsiaTheme="majorEastAsia" w:cs="Arial"/>
          <w:b/>
          <w:sz w:val="24"/>
          <w:szCs w:val="24"/>
        </w:rPr>
      </w:pPr>
      <w:r w:rsidRPr="00823C95">
        <w:rPr>
          <w:rFonts w:cs="Arial"/>
        </w:rPr>
        <w:br w:type="page"/>
      </w:r>
    </w:p>
    <w:p w14:paraId="61895DA6" w14:textId="5FBB6DF8" w:rsidR="0071500D" w:rsidRPr="00823C95" w:rsidRDefault="1728BCD8" w:rsidP="0071500D">
      <w:pPr>
        <w:pStyle w:val="Heading3"/>
        <w:rPr>
          <w:rFonts w:ascii="Arial" w:hAnsi="Arial" w:cs="Arial"/>
          <w:szCs w:val="22"/>
        </w:rPr>
      </w:pPr>
      <w:r w:rsidRPr="00823C95">
        <w:rPr>
          <w:rFonts w:ascii="Arial" w:hAnsi="Arial" w:cs="Arial"/>
        </w:rPr>
        <w:lastRenderedPageBreak/>
        <w:t xml:space="preserve">Rowan College </w:t>
      </w:r>
      <w:r w:rsidR="00743973">
        <w:rPr>
          <w:rFonts w:ascii="Arial" w:hAnsi="Arial" w:cs="Arial"/>
        </w:rPr>
        <w:t xml:space="preserve">of South Jersey </w:t>
      </w:r>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5C6DAD38" w:rsidR="0071500D" w:rsidRPr="00823C95" w:rsidRDefault="1728BCD8" w:rsidP="1728BCD8">
      <w:pPr>
        <w:rPr>
          <w:rFonts w:eastAsia="Arial" w:cs="Arial"/>
        </w:rPr>
      </w:pPr>
      <w:r w:rsidRPr="00823C95">
        <w:rPr>
          <w:rFonts w:cs="Arial"/>
        </w:rPr>
        <w:t>This comprehensive list reflects the core competencies that are essential for all RCGC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37163DCD" w:rsidR="00976284" w:rsidRPr="00823C95" w:rsidRDefault="003964F4" w:rsidP="00976284">
      <w:pPr>
        <w:pStyle w:val="Heading2"/>
      </w:pPr>
      <w:r>
        <w:t>BUS 202</w:t>
      </w:r>
      <w:r w:rsidR="1728BCD8" w:rsidRPr="00823C95">
        <w:t xml:space="preserve"> Core Competencies</w:t>
      </w:r>
    </w:p>
    <w:p w14:paraId="3AB3BC49" w14:textId="459F30DC" w:rsidR="00B373CD" w:rsidRPr="00CC059F" w:rsidRDefault="1728BCD8" w:rsidP="1728BCD8">
      <w:pPr>
        <w:rPr>
          <w:rFonts w:cs="Arial"/>
        </w:rPr>
      </w:pPr>
      <w:r w:rsidRPr="00823C95">
        <w:rPr>
          <w:rFonts w:cs="Arial"/>
        </w:rPr>
        <w:t>This course focuses on</w:t>
      </w:r>
      <w:r w:rsidRPr="00823C95">
        <w:rPr>
          <w:rFonts w:eastAsia="Arial" w:cs="Arial"/>
        </w:rPr>
        <w:t xml:space="preserve"> </w:t>
      </w:r>
      <w:r w:rsidR="00CC059F">
        <w:rPr>
          <w:rFonts w:cs="Arial"/>
        </w:rPr>
        <w:t>one</w:t>
      </w:r>
      <w:r w:rsidRPr="00823C95">
        <w:rPr>
          <w:rFonts w:cs="Arial"/>
        </w:rPr>
        <w:t xml:space="preserve"> of RCGC’s Core Competencies:</w:t>
      </w:r>
    </w:p>
    <w:p w14:paraId="62A1A86A" w14:textId="77777777" w:rsidR="008A705F" w:rsidRPr="008A705F" w:rsidRDefault="008A705F" w:rsidP="008A705F">
      <w:pPr>
        <w:pStyle w:val="ListParagraph"/>
        <w:numPr>
          <w:ilvl w:val="0"/>
          <w:numId w:val="6"/>
        </w:numPr>
        <w:spacing w:before="0" w:after="160" w:line="259" w:lineRule="auto"/>
        <w:rPr>
          <w:rFonts w:cs="Arial"/>
        </w:rPr>
      </w:pPr>
      <w:r w:rsidRPr="008A705F">
        <w:rPr>
          <w:rFonts w:cs="Arial"/>
        </w:rPr>
        <w:t>Quantitative Knowledge and Skills</w:t>
      </w:r>
    </w:p>
    <w:p w14:paraId="63AC2DF3" w14:textId="52ECD484" w:rsidR="00466CC2" w:rsidRPr="00823C95" w:rsidRDefault="5BB833A8" w:rsidP="008A705F">
      <w:pPr>
        <w:pStyle w:val="ListParagraph"/>
        <w:numPr>
          <w:ilvl w:val="0"/>
          <w:numId w:val="6"/>
        </w:numPr>
        <w:spacing w:before="0" w:after="160" w:line="259" w:lineRule="auto"/>
        <w:rPr>
          <w:rFonts w:cs="Arial"/>
        </w:rPr>
      </w:pPr>
      <w:r w:rsidRPr="00823C95">
        <w:rPr>
          <w:rFonts w:eastAsia="Arial" w:cs="Arial"/>
        </w:rPr>
        <w:br w:type="page"/>
      </w:r>
    </w:p>
    <w:p w14:paraId="6D9E4B82" w14:textId="417A7F2C" w:rsidR="000E0A74" w:rsidRPr="00823C95" w:rsidRDefault="1728BCD8" w:rsidP="000E0A74">
      <w:pPr>
        <w:pStyle w:val="Heading1"/>
        <w:rPr>
          <w:rFonts w:cs="Arial"/>
        </w:rPr>
      </w:pPr>
      <w:r w:rsidRPr="00823C95">
        <w:rPr>
          <w:rFonts w:cs="Arial"/>
        </w:rPr>
        <w:lastRenderedPageBreak/>
        <w:t xml:space="preserve">Student Learning Outcomes: </w:t>
      </w:r>
      <w:r w:rsidR="003964F4">
        <w:rPr>
          <w:rFonts w:cs="Arial"/>
        </w:rPr>
        <w:t>Intermediate Accounting I</w:t>
      </w:r>
      <w:r w:rsidRPr="00823C95">
        <w:rPr>
          <w:rFonts w:cs="Arial"/>
        </w:rPr>
        <w:t>I</w:t>
      </w:r>
    </w:p>
    <w:tbl>
      <w:tblPr>
        <w:tblStyle w:val="TableGrid"/>
        <w:tblW w:w="11250" w:type="dxa"/>
        <w:tblInd w:w="-905" w:type="dxa"/>
        <w:tblLook w:val="04A0" w:firstRow="1" w:lastRow="0" w:firstColumn="1" w:lastColumn="0" w:noHBand="0" w:noVBand="1"/>
        <w:tblCaption w:val="Student Learning Outcomes for course"/>
      </w:tblPr>
      <w:tblGrid>
        <w:gridCol w:w="3960"/>
        <w:gridCol w:w="4050"/>
        <w:gridCol w:w="3240"/>
      </w:tblGrid>
      <w:tr w:rsidR="005B4347" w:rsidRPr="00823C95" w14:paraId="3092921A" w14:textId="77777777" w:rsidTr="008A705F">
        <w:trPr>
          <w:trHeight w:val="1619"/>
          <w:tblHeader/>
        </w:trPr>
        <w:tc>
          <w:tcPr>
            <w:tcW w:w="3960" w:type="dxa"/>
          </w:tcPr>
          <w:p w14:paraId="1B0B2180" w14:textId="1D90FAD6" w:rsidR="201BECFA" w:rsidRPr="00823C95" w:rsidRDefault="000E0A74" w:rsidP="00823C95">
            <w:pPr>
              <w:pStyle w:val="Heading2"/>
              <w:jc w:val="center"/>
              <w:outlineLvl w:val="1"/>
            </w:pPr>
            <w:r w:rsidRPr="00823C95">
              <w:t xml:space="preserve">Successful completion of </w:t>
            </w:r>
            <w:r w:rsidR="003964F4">
              <w:t>BUS 202</w:t>
            </w:r>
            <w:r w:rsidRPr="00823C95">
              <w:t xml:space="preserve"> will help students:</w:t>
            </w:r>
            <w:r w:rsidR="1728BCD8" w:rsidRPr="00823C95">
              <w:t xml:space="preserve"> </w:t>
            </w:r>
          </w:p>
        </w:tc>
        <w:tc>
          <w:tcPr>
            <w:tcW w:w="4050" w:type="dxa"/>
          </w:tcPr>
          <w:p w14:paraId="0ADAEF12" w14:textId="68BDEEC8" w:rsidR="005B4347" w:rsidRPr="00823C95" w:rsidRDefault="1728BCD8" w:rsidP="00466CC2">
            <w:pPr>
              <w:pStyle w:val="Heading2"/>
              <w:jc w:val="center"/>
              <w:outlineLvl w:val="1"/>
            </w:pPr>
            <w:r w:rsidRPr="00823C95">
              <w:t>RCGC Core Competencies</w:t>
            </w:r>
          </w:p>
          <w:p w14:paraId="3E5E5622" w14:textId="77777777" w:rsidR="201BECFA" w:rsidRPr="00823C95" w:rsidRDefault="201BECFA">
            <w:pPr>
              <w:rPr>
                <w:rFonts w:cs="Arial"/>
              </w:rPr>
            </w:pPr>
          </w:p>
        </w:tc>
        <w:tc>
          <w:tcPr>
            <w:tcW w:w="3240" w:type="dxa"/>
          </w:tcPr>
          <w:p w14:paraId="4BD50BBA" w14:textId="77B999BD"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r w:rsidR="00CC059F">
              <w:rPr>
                <w:sz w:val="18"/>
                <w:szCs w:val="18"/>
              </w:rPr>
              <w:t>)</w:t>
            </w:r>
          </w:p>
        </w:tc>
      </w:tr>
      <w:tr w:rsidR="004A5FD9" w:rsidRPr="00823C95" w14:paraId="29E1C338" w14:textId="77777777" w:rsidTr="008A705F">
        <w:trPr>
          <w:trHeight w:val="1178"/>
          <w:tblHeader/>
        </w:trPr>
        <w:tc>
          <w:tcPr>
            <w:tcW w:w="3960" w:type="dxa"/>
          </w:tcPr>
          <w:p w14:paraId="5B66129B" w14:textId="4D66FFFE" w:rsidR="004A5FD9" w:rsidRPr="00823C95" w:rsidRDefault="003964F4" w:rsidP="00CB3FD0">
            <w:pPr>
              <w:rPr>
                <w:rFonts w:cs="Arial"/>
              </w:rPr>
            </w:pPr>
            <w:r>
              <w:rPr>
                <w:rFonts w:cs="Arial"/>
              </w:rPr>
              <w:t xml:space="preserve">See topic list below </w:t>
            </w:r>
          </w:p>
        </w:tc>
        <w:tc>
          <w:tcPr>
            <w:tcW w:w="4050" w:type="dxa"/>
          </w:tcPr>
          <w:p w14:paraId="75E4B526" w14:textId="71F83682" w:rsidR="004A5FD9" w:rsidRPr="00823C95" w:rsidRDefault="003964F4" w:rsidP="00CB3FD0">
            <w:pPr>
              <w:rPr>
                <w:rFonts w:cs="Arial"/>
              </w:rPr>
            </w:pPr>
            <w:r>
              <w:rPr>
                <w:rFonts w:cs="Arial"/>
              </w:rPr>
              <w:t>Quantitative Knowledge and Skills</w:t>
            </w:r>
          </w:p>
        </w:tc>
        <w:tc>
          <w:tcPr>
            <w:tcW w:w="3240" w:type="dxa"/>
          </w:tcPr>
          <w:p w14:paraId="620661C6" w14:textId="3D9500FC" w:rsidR="004A5FD9" w:rsidRPr="00823C95" w:rsidRDefault="003964F4" w:rsidP="00CB3FD0">
            <w:pPr>
              <w:rPr>
                <w:rFonts w:cs="Arial"/>
              </w:rPr>
            </w:pPr>
            <w:r>
              <w:rPr>
                <w:rFonts w:cs="Arial"/>
              </w:rPr>
              <w:t>Exams</w:t>
            </w:r>
          </w:p>
        </w:tc>
      </w:tr>
    </w:tbl>
    <w:p w14:paraId="197A07D4" w14:textId="77777777" w:rsidR="003964F4" w:rsidRDefault="003964F4">
      <w:pPr>
        <w:spacing w:before="0" w:after="160" w:line="259" w:lineRule="auto"/>
        <w:rPr>
          <w:rFonts w:cs="Arial"/>
          <w:szCs w:val="22"/>
        </w:rPr>
      </w:pPr>
    </w:p>
    <w:p w14:paraId="65B5A312" w14:textId="77777777" w:rsidR="003964F4" w:rsidRDefault="003964F4">
      <w:pPr>
        <w:spacing w:before="0" w:after="160" w:line="259" w:lineRule="auto"/>
        <w:rPr>
          <w:rFonts w:cs="Arial"/>
          <w:szCs w:val="22"/>
        </w:rPr>
      </w:pPr>
      <w:r>
        <w:rPr>
          <w:rFonts w:cs="Arial"/>
          <w:szCs w:val="22"/>
        </w:rPr>
        <w:br w:type="page"/>
      </w:r>
    </w:p>
    <w:p w14:paraId="2CF8782B" w14:textId="2CA6EDA4" w:rsidR="003964F4" w:rsidRDefault="003964F4" w:rsidP="003964F4">
      <w:pPr>
        <w:spacing w:before="0" w:after="160" w:line="259" w:lineRule="auto"/>
        <w:rPr>
          <w:rFonts w:cs="Arial"/>
          <w:szCs w:val="22"/>
        </w:rPr>
      </w:pPr>
      <w:r>
        <w:rPr>
          <w:rFonts w:cs="Arial"/>
          <w:szCs w:val="22"/>
        </w:rPr>
        <w:lastRenderedPageBreak/>
        <w:t>Topic Outline</w:t>
      </w:r>
    </w:p>
    <w:p w14:paraId="5D84D5BB" w14:textId="2C8BFAD3" w:rsidR="003964F4" w:rsidRPr="003964F4" w:rsidRDefault="003964F4" w:rsidP="003964F4">
      <w:pPr>
        <w:pStyle w:val="ListParagraph"/>
        <w:numPr>
          <w:ilvl w:val="0"/>
          <w:numId w:val="19"/>
        </w:numPr>
        <w:spacing w:before="0" w:after="0" w:line="259" w:lineRule="auto"/>
        <w:rPr>
          <w:rFonts w:cs="Arial"/>
          <w:szCs w:val="22"/>
        </w:rPr>
      </w:pPr>
      <w:r w:rsidRPr="003964F4">
        <w:rPr>
          <w:rFonts w:cs="Arial"/>
          <w:szCs w:val="22"/>
        </w:rPr>
        <w:t>CHAPTER 1 ENVIRONMENT AND THEORETICAL STRUCTURE OF FINANCIAL ACCOUNTING</w:t>
      </w:r>
    </w:p>
    <w:p w14:paraId="755BCA12" w14:textId="7BD604FF"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Describe the function and primary focus of financial accounting.</w:t>
      </w:r>
    </w:p>
    <w:p w14:paraId="5D640BD3" w14:textId="0A7103F4"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Explain the difference between cash and accrual accounting.</w:t>
      </w:r>
    </w:p>
    <w:p w14:paraId="62267E15" w14:textId="1AE46A8B"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Define generally accepted accounting principles (GAAP) and discuss the historical development of accounting standards.</w:t>
      </w:r>
    </w:p>
    <w:p w14:paraId="79BFE310" w14:textId="1442735F"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Explain why the establishment of accounting standards is characterized as a political process.</w:t>
      </w:r>
    </w:p>
    <w:p w14:paraId="5176CB2E" w14:textId="0A7CEBBD"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Explain the purpose of the FASB’s conceptual framework.</w:t>
      </w:r>
    </w:p>
    <w:p w14:paraId="555D92FA" w14:textId="72013A54"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Identify the objective of financial reporting, the qualitative characteristics of financial reporting information, and the elements of financial statements.</w:t>
      </w:r>
    </w:p>
    <w:p w14:paraId="01DC76E9" w14:textId="64CB9282"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Describe the four basic assumptions underlying GAAP.</w:t>
      </w:r>
    </w:p>
    <w:p w14:paraId="518F7159" w14:textId="67009B16"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Describe the four broad accounting principles that guide accounting practice</w:t>
      </w:r>
    </w:p>
    <w:p w14:paraId="15A3C613" w14:textId="6AC5190B" w:rsidR="003964F4" w:rsidRPr="003964F4" w:rsidRDefault="003964F4" w:rsidP="003964F4">
      <w:pPr>
        <w:pStyle w:val="ListParagraph"/>
        <w:numPr>
          <w:ilvl w:val="0"/>
          <w:numId w:val="19"/>
        </w:numPr>
        <w:spacing w:before="0" w:after="0" w:line="259" w:lineRule="auto"/>
        <w:rPr>
          <w:rFonts w:cs="Arial"/>
          <w:szCs w:val="22"/>
        </w:rPr>
      </w:pPr>
      <w:r w:rsidRPr="003964F4">
        <w:rPr>
          <w:rFonts w:cs="Arial"/>
          <w:szCs w:val="22"/>
        </w:rPr>
        <w:t>CHAPTER 2 REVIEW OF THE ACCOUNTING PROCESS</w:t>
      </w:r>
    </w:p>
    <w:p w14:paraId="62FF625C" w14:textId="5D1845F6"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Analyze routine economic events—transactions—and record their effects on a company’s financial position using the accounting equation format.</w:t>
      </w:r>
    </w:p>
    <w:p w14:paraId="7A6D560F" w14:textId="1765767B"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Record transactions using the general journal format.</w:t>
      </w:r>
    </w:p>
    <w:p w14:paraId="4F8B7A34" w14:textId="14605988"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Post the effects of journal entries to general ledger accounts and prepare an unadjusted trial balance.</w:t>
      </w:r>
    </w:p>
    <w:p w14:paraId="34DC075D" w14:textId="310428D8"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Identify and describe the different types of adjusting journal entries.</w:t>
      </w:r>
    </w:p>
    <w:p w14:paraId="781358E4" w14:textId="17E80598"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Record adjusting journal entries in general journal format, post entries, and prepare an adjusted trial balance.</w:t>
      </w:r>
    </w:p>
    <w:p w14:paraId="1946286E" w14:textId="1334DF6D"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Describe the four basic financial statements.</w:t>
      </w:r>
    </w:p>
    <w:p w14:paraId="3389B258" w14:textId="0115B6CB"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Explain the closing process.</w:t>
      </w:r>
    </w:p>
    <w:p w14:paraId="3B3F233F" w14:textId="2DA86B10"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Convert from cash basis net income to accrual basis net income.</w:t>
      </w:r>
    </w:p>
    <w:p w14:paraId="7FD7EC0A" w14:textId="36B5A345" w:rsidR="003964F4" w:rsidRPr="003964F4" w:rsidRDefault="003964F4" w:rsidP="003964F4">
      <w:pPr>
        <w:pStyle w:val="ListParagraph"/>
        <w:numPr>
          <w:ilvl w:val="0"/>
          <w:numId w:val="19"/>
        </w:numPr>
        <w:spacing w:before="0" w:after="0" w:line="259" w:lineRule="auto"/>
        <w:rPr>
          <w:rFonts w:cs="Arial"/>
          <w:szCs w:val="22"/>
        </w:rPr>
      </w:pPr>
      <w:r w:rsidRPr="003964F4">
        <w:rPr>
          <w:rFonts w:cs="Arial"/>
          <w:szCs w:val="22"/>
        </w:rPr>
        <w:t>CHAPTER 3 THE BALANCE SHEET AND FINANCIAL DISCLOSURES</w:t>
      </w:r>
    </w:p>
    <w:p w14:paraId="74FDF610" w14:textId="0D1B752F"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 xml:space="preserve">Describe the purpose of the balance sheet and understand its usefulness and limitations. </w:t>
      </w:r>
    </w:p>
    <w:p w14:paraId="4DD5C1FE" w14:textId="240AE489"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Distinguish among current and noncurrent assets and liabilities.</w:t>
      </w:r>
    </w:p>
    <w:p w14:paraId="1C80029F" w14:textId="4D097C4A"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Identify and describe the various balance sheet asset classifications.</w:t>
      </w:r>
    </w:p>
    <w:p w14:paraId="75F13CF7" w14:textId="2CE72294"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Identify and describe the two balance sheet liability classifications.</w:t>
      </w:r>
    </w:p>
    <w:p w14:paraId="42BCBA34" w14:textId="0A13DEE8"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Explain the purpose of financial statement disclosures.</w:t>
      </w:r>
    </w:p>
    <w:p w14:paraId="5D403B13" w14:textId="36DCB160"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Explain the purpose of the management discussion and analysis disclosure.</w:t>
      </w:r>
    </w:p>
    <w:p w14:paraId="04272E1C" w14:textId="6AADE79B"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Explain the purpose of an audit and describe the content of the audit report.</w:t>
      </w:r>
    </w:p>
    <w:p w14:paraId="6E20925B" w14:textId="64311A7A"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Describe the techniques used by financial analysts to transform financial information into forms more useful for analysis.</w:t>
      </w:r>
    </w:p>
    <w:p w14:paraId="729B9103" w14:textId="061AB650"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Identify and calculate the common liquidity and financing ratios used to assess risk.</w:t>
      </w:r>
    </w:p>
    <w:p w14:paraId="43797DA5" w14:textId="3BF872BE"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Discuss the primary differences between U.S. GAAP and IFRS with respect to the balance sheet, financial disclosures, and segment reporting.</w:t>
      </w:r>
    </w:p>
    <w:p w14:paraId="033DC6FD" w14:textId="70F35E67" w:rsidR="003964F4" w:rsidRPr="003964F4" w:rsidRDefault="003964F4" w:rsidP="003964F4">
      <w:pPr>
        <w:pStyle w:val="ListParagraph"/>
        <w:numPr>
          <w:ilvl w:val="0"/>
          <w:numId w:val="19"/>
        </w:numPr>
        <w:spacing w:before="0" w:after="0" w:line="259" w:lineRule="auto"/>
        <w:rPr>
          <w:rFonts w:cs="Arial"/>
          <w:szCs w:val="22"/>
        </w:rPr>
      </w:pPr>
      <w:r w:rsidRPr="003964F4">
        <w:rPr>
          <w:rFonts w:cs="Arial"/>
          <w:szCs w:val="22"/>
        </w:rPr>
        <w:t>CHAPTER 4 THE INCOME STATEMENT AND STATEMENT OF CASH FLOWS</w:t>
      </w:r>
    </w:p>
    <w:p w14:paraId="62BFCC83" w14:textId="01895A02"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Discuss the importance of income from continuing operations and describe its components.</w:t>
      </w:r>
    </w:p>
    <w:p w14:paraId="7315B998" w14:textId="13319CA9"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Describe earnings quality and how it is impacted by management practices to manipulate earnings.</w:t>
      </w:r>
    </w:p>
    <w:p w14:paraId="237DEDAA" w14:textId="578F393B"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Discuss the components of operating and nonoperating income and their relationship to earnings quality.</w:t>
      </w:r>
    </w:p>
    <w:p w14:paraId="31134689" w14:textId="4765FADF"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lastRenderedPageBreak/>
        <w:t>Define what constitutes discontinued operations and describe the appropriate income statement presentation for these transactions.</w:t>
      </w:r>
    </w:p>
    <w:p w14:paraId="4B85BCF3" w14:textId="1C980AB9"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Define extraordinary items and describe the appropriate income statement presentation for these transactions.</w:t>
      </w:r>
    </w:p>
    <w:p w14:paraId="64AEA58B" w14:textId="43545054"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Describe the measurement and reporting requirements for a change in accounting principle.</w:t>
      </w:r>
    </w:p>
    <w:p w14:paraId="1B11BB96" w14:textId="14BE2DC2"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Explain the accounting treatments of changes in estimates and correction of errors.</w:t>
      </w:r>
    </w:p>
    <w:p w14:paraId="12562729" w14:textId="463138D0"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 xml:space="preserve">Define earnings per share (EPS) and explain required disclosures of EPS for certain income statement components. </w:t>
      </w:r>
    </w:p>
    <w:p w14:paraId="0E29162E" w14:textId="3F7BF3C6"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Explain the difference between net income and comprehensive income and how we report components of the difference.</w:t>
      </w:r>
    </w:p>
    <w:p w14:paraId="5944A4B9" w14:textId="40BA6B71"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Describe the purpose of the statement of cash flows.</w:t>
      </w:r>
    </w:p>
    <w:p w14:paraId="39702805" w14:textId="5665F71D"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Identify and describe the various classifications of cash flows presented in a statement of cash flows.</w:t>
      </w:r>
    </w:p>
    <w:p w14:paraId="333E71E0" w14:textId="64CBF514"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Discuss the primary differences between U.S. GAAP and IFRS with respect to the income statement and statement of cash flows.</w:t>
      </w:r>
    </w:p>
    <w:p w14:paraId="0244F34C" w14:textId="73B7715F" w:rsidR="003964F4" w:rsidRPr="003964F4" w:rsidRDefault="003964F4" w:rsidP="003964F4">
      <w:pPr>
        <w:pStyle w:val="ListParagraph"/>
        <w:numPr>
          <w:ilvl w:val="0"/>
          <w:numId w:val="19"/>
        </w:numPr>
        <w:spacing w:before="0" w:after="0" w:line="259" w:lineRule="auto"/>
        <w:rPr>
          <w:rFonts w:cs="Arial"/>
          <w:szCs w:val="22"/>
        </w:rPr>
      </w:pPr>
      <w:r w:rsidRPr="003964F4">
        <w:rPr>
          <w:rFonts w:cs="Arial"/>
          <w:szCs w:val="22"/>
        </w:rPr>
        <w:t>CHAPTER 5 INCOME MEASUREMENT AND PROFITABILITY ANALYSIS</w:t>
      </w:r>
    </w:p>
    <w:p w14:paraId="00CA5A6F" w14:textId="317AF372"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Discuss the general objective of the timing of revenue recognition, list the two general criteria that must be satisfied before revenue can be recognized, and explain why these criteria usually are satisfied at a specific point in time.</w:t>
      </w:r>
    </w:p>
    <w:p w14:paraId="6DFBF464" w14:textId="3E6B65CA"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Describe the installment sales and cost recovery methods of recognizing revenue for some types of installment sales and explain the unusual conditions under which these methods might be used.</w:t>
      </w:r>
    </w:p>
    <w:p w14:paraId="75DB96A3" w14:textId="2C5BDECA"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Discuss the implications for revenue recognition of allowing customers the right of return.</w:t>
      </w:r>
    </w:p>
    <w:p w14:paraId="042EEFC4" w14:textId="167F15E9"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Identify situations that call for the recognition of revenue over time and distinguish between the percentage-of-completion and completed contract methods of recognizing revenue for long-term contracts.</w:t>
      </w:r>
    </w:p>
    <w:p w14:paraId="17B0F21F" w14:textId="031CB84D"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Discuss the revenue recognition issues involving multiple-deliverable contracts, software, and franchise sales.</w:t>
      </w:r>
    </w:p>
    <w:p w14:paraId="7A454069" w14:textId="66D77A56"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Identify and calculate the common ratios used to assess profitability.</w:t>
      </w:r>
    </w:p>
    <w:p w14:paraId="19F7A9BC" w14:textId="48513CB2"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Discuss the primary differences between U.S. GAAP and IFRS with respect to revenue recognition.</w:t>
      </w:r>
    </w:p>
    <w:p w14:paraId="5FA62B73" w14:textId="5FA8AF48" w:rsidR="003964F4" w:rsidRPr="003964F4" w:rsidRDefault="003964F4" w:rsidP="003964F4">
      <w:pPr>
        <w:pStyle w:val="ListParagraph"/>
        <w:numPr>
          <w:ilvl w:val="0"/>
          <w:numId w:val="19"/>
        </w:numPr>
        <w:spacing w:before="0" w:after="0" w:line="259" w:lineRule="auto"/>
        <w:rPr>
          <w:rFonts w:cs="Arial"/>
          <w:szCs w:val="22"/>
        </w:rPr>
      </w:pPr>
      <w:r w:rsidRPr="003964F4">
        <w:rPr>
          <w:rFonts w:cs="Arial"/>
          <w:szCs w:val="22"/>
        </w:rPr>
        <w:t>CHAPTER 6 TIME VALUE OF MONEY CONCEPTS</w:t>
      </w:r>
    </w:p>
    <w:p w14:paraId="4A1EAF48" w14:textId="32D83489"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Explain the difference between simple and compound interest.</w:t>
      </w:r>
    </w:p>
    <w:p w14:paraId="16374C34" w14:textId="231DA721"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Compute the future value of a single amount.</w:t>
      </w:r>
    </w:p>
    <w:p w14:paraId="627321B5" w14:textId="6D414C45"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Compute the present value of a single amount.</w:t>
      </w:r>
    </w:p>
    <w:p w14:paraId="75E10D25" w14:textId="1D1A1DD7"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Solve for either the interest rate or the number of compounding periods when present value and future value of a single amount are known.</w:t>
      </w:r>
    </w:p>
    <w:p w14:paraId="55C22FF6" w14:textId="4F9E3F42"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Explain the difference between an ordinary annuity and an annuity due situation.</w:t>
      </w:r>
    </w:p>
    <w:p w14:paraId="15B6E363" w14:textId="5DC6FA67"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Compute the future value of both an ordinary annuity and an annuity due.</w:t>
      </w:r>
    </w:p>
    <w:p w14:paraId="243DF979" w14:textId="542BBBF1"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Compute the present value of an ordinary annuity, an annuity due, and a deferred annuity.</w:t>
      </w:r>
    </w:p>
    <w:p w14:paraId="78986CBF" w14:textId="3526CB1F"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Solve for unknown values in annuity situations involving present value.</w:t>
      </w:r>
    </w:p>
    <w:p w14:paraId="0A90DAC5" w14:textId="5A7446CF"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Briefly describe how the concept of the time value of money is incorporated into the valuation of bonds, long-term leases, and pension obligations.</w:t>
      </w:r>
    </w:p>
    <w:p w14:paraId="722562F2" w14:textId="77777777" w:rsidR="003964F4" w:rsidRPr="003964F4" w:rsidRDefault="003964F4" w:rsidP="003964F4">
      <w:pPr>
        <w:pStyle w:val="ListParagraph"/>
        <w:spacing w:before="0" w:after="0" w:line="259" w:lineRule="auto"/>
        <w:rPr>
          <w:rFonts w:cs="Arial"/>
          <w:szCs w:val="22"/>
        </w:rPr>
      </w:pPr>
    </w:p>
    <w:p w14:paraId="23BD0B79" w14:textId="5592A234" w:rsidR="003964F4" w:rsidRPr="003964F4" w:rsidRDefault="003964F4" w:rsidP="003964F4">
      <w:pPr>
        <w:pStyle w:val="ListParagraph"/>
        <w:numPr>
          <w:ilvl w:val="0"/>
          <w:numId w:val="19"/>
        </w:numPr>
        <w:spacing w:before="0" w:after="0" w:line="259" w:lineRule="auto"/>
        <w:rPr>
          <w:rFonts w:cs="Arial"/>
          <w:szCs w:val="22"/>
        </w:rPr>
      </w:pPr>
      <w:r w:rsidRPr="003964F4">
        <w:rPr>
          <w:rFonts w:cs="Arial"/>
          <w:szCs w:val="22"/>
        </w:rPr>
        <w:lastRenderedPageBreak/>
        <w:t>CHAPTER 7 CASH AND RECEIVABLES</w:t>
      </w:r>
    </w:p>
    <w:p w14:paraId="5E84179B" w14:textId="5D9D90D6"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Define what is meant by internal control and describe some key elements of an internal control system for cash receipts and disbursements.</w:t>
      </w:r>
    </w:p>
    <w:p w14:paraId="0C8A88B4" w14:textId="41B8F982"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Explain the possible restrictions on cash and their implications for classification on the balance sheet.</w:t>
      </w:r>
    </w:p>
    <w:p w14:paraId="39AB0A61" w14:textId="24C47737"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Distinguish between the gross and net methods of accounting for cash discounts.</w:t>
      </w:r>
    </w:p>
    <w:p w14:paraId="71B9EC6C" w14:textId="2EFE41B3"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Describe the accounting treatment for merchandise returns.</w:t>
      </w:r>
    </w:p>
    <w:p w14:paraId="04AFEC7D" w14:textId="095E7415"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Describe the accounting treatment of anticipated uncollectible accounts receivable.</w:t>
      </w:r>
    </w:p>
    <w:p w14:paraId="6C10379F" w14:textId="47F3D4DA"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Describe the two approaches to estimating bad debts.</w:t>
      </w:r>
    </w:p>
    <w:p w14:paraId="4532C227" w14:textId="76D8A8FD"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Describe the accounting treatment of short-term notes receivable.</w:t>
      </w:r>
    </w:p>
    <w:p w14:paraId="474F2184" w14:textId="1349A1C5"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Differentiate between the use of receivables in financing arrangements accounted for as a secured borrowing and those accounted for as a sale.</w:t>
      </w:r>
    </w:p>
    <w:p w14:paraId="41C5AC81" w14:textId="0C238B7B"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Describe the variables that influence a company’s investment in receivables and calculate the key ratios used by analysts to monitor that investment.</w:t>
      </w:r>
    </w:p>
    <w:p w14:paraId="2504CB41" w14:textId="0F3EB13F"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Discuss the primary differences between U.S. GAAP and IFRS with respect to cash and receivables.</w:t>
      </w:r>
    </w:p>
    <w:p w14:paraId="596893F4" w14:textId="6D10CC62" w:rsidR="003964F4" w:rsidRPr="003964F4" w:rsidRDefault="003964F4" w:rsidP="003964F4">
      <w:pPr>
        <w:pStyle w:val="ListParagraph"/>
        <w:numPr>
          <w:ilvl w:val="0"/>
          <w:numId w:val="19"/>
        </w:numPr>
        <w:spacing w:before="0" w:after="0" w:line="259" w:lineRule="auto"/>
        <w:rPr>
          <w:rFonts w:cs="Arial"/>
          <w:szCs w:val="22"/>
        </w:rPr>
      </w:pPr>
      <w:r w:rsidRPr="003964F4">
        <w:rPr>
          <w:rFonts w:cs="Arial"/>
          <w:szCs w:val="22"/>
        </w:rPr>
        <w:t>CHAPTER 8 INVENTORIES: MEASUREMENT</w:t>
      </w:r>
    </w:p>
    <w:p w14:paraId="6870D655" w14:textId="7FA242BF"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Explain the difference between a perpetual inventory system and a periodic inventory system.</w:t>
      </w:r>
    </w:p>
    <w:p w14:paraId="4BDB75FC" w14:textId="7AE40C91"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Explain which physical quantities of goods should be included in inventory.</w:t>
      </w:r>
    </w:p>
    <w:p w14:paraId="3D4A2F18" w14:textId="0EF02EA9"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Determine the expenditures that should be included in the cost of inventory.</w:t>
      </w:r>
    </w:p>
    <w:p w14:paraId="61FD90CC" w14:textId="7362DE9E" w:rsidR="003964F4" w:rsidRPr="003964F4" w:rsidRDefault="003964F4" w:rsidP="003964F4">
      <w:pPr>
        <w:pStyle w:val="ListParagraph"/>
        <w:numPr>
          <w:ilvl w:val="1"/>
          <w:numId w:val="19"/>
        </w:numPr>
        <w:spacing w:before="0" w:after="0" w:line="259" w:lineRule="auto"/>
        <w:rPr>
          <w:rFonts w:cs="Arial"/>
          <w:szCs w:val="22"/>
        </w:rPr>
      </w:pPr>
      <w:r w:rsidRPr="003964F4">
        <w:rPr>
          <w:rFonts w:cs="Arial"/>
          <w:szCs w:val="22"/>
        </w:rPr>
        <w:t>Differentiate between the specific identification, FIFO, LIFO, and average cost methods used to determine the cost of ending inventory and cost of goods sold.</w:t>
      </w:r>
    </w:p>
    <w:p w14:paraId="57A8BD39" w14:textId="27969C02" w:rsidR="003964F4" w:rsidRPr="003964F4" w:rsidRDefault="003964F4" w:rsidP="007B1D0A">
      <w:pPr>
        <w:pStyle w:val="ListParagraph"/>
        <w:numPr>
          <w:ilvl w:val="1"/>
          <w:numId w:val="19"/>
        </w:numPr>
        <w:spacing w:before="0" w:after="0" w:line="259" w:lineRule="auto"/>
        <w:rPr>
          <w:rFonts w:cs="Arial"/>
          <w:szCs w:val="22"/>
        </w:rPr>
      </w:pPr>
      <w:r w:rsidRPr="003964F4">
        <w:rPr>
          <w:rFonts w:cs="Arial"/>
          <w:szCs w:val="22"/>
        </w:rPr>
        <w:t>Discuss the factors affecting a company’s choice of inventory method.</w:t>
      </w:r>
    </w:p>
    <w:p w14:paraId="7F7008BF" w14:textId="5C0B4C4A" w:rsidR="003964F4" w:rsidRPr="003964F4" w:rsidRDefault="003964F4" w:rsidP="007B1D0A">
      <w:pPr>
        <w:pStyle w:val="ListParagraph"/>
        <w:numPr>
          <w:ilvl w:val="1"/>
          <w:numId w:val="19"/>
        </w:numPr>
        <w:spacing w:before="0" w:after="0" w:line="259" w:lineRule="auto"/>
        <w:rPr>
          <w:rFonts w:cs="Arial"/>
          <w:szCs w:val="22"/>
        </w:rPr>
      </w:pPr>
      <w:r w:rsidRPr="003964F4">
        <w:rPr>
          <w:rFonts w:cs="Arial"/>
          <w:szCs w:val="22"/>
        </w:rPr>
        <w:t>Understand supplemental LIFO disclosures and the effect of LIFO liquidations on net income.</w:t>
      </w:r>
    </w:p>
    <w:p w14:paraId="080C8DD0" w14:textId="254B2921" w:rsidR="003964F4" w:rsidRPr="003964F4" w:rsidRDefault="003964F4" w:rsidP="007B1D0A">
      <w:pPr>
        <w:pStyle w:val="ListParagraph"/>
        <w:numPr>
          <w:ilvl w:val="1"/>
          <w:numId w:val="19"/>
        </w:numPr>
        <w:spacing w:before="0" w:after="0" w:line="259" w:lineRule="auto"/>
        <w:rPr>
          <w:rFonts w:cs="Arial"/>
          <w:szCs w:val="22"/>
        </w:rPr>
      </w:pPr>
      <w:r w:rsidRPr="003964F4">
        <w:rPr>
          <w:rFonts w:cs="Arial"/>
          <w:szCs w:val="22"/>
        </w:rPr>
        <w:t>Calculate the key ratios used by analysts to monitor a company’s investment in inventories.</w:t>
      </w:r>
    </w:p>
    <w:p w14:paraId="64A912F1" w14:textId="57679F69" w:rsidR="003964F4" w:rsidRPr="003964F4" w:rsidRDefault="003964F4" w:rsidP="007B1D0A">
      <w:pPr>
        <w:pStyle w:val="ListParagraph"/>
        <w:numPr>
          <w:ilvl w:val="1"/>
          <w:numId w:val="19"/>
        </w:numPr>
        <w:spacing w:before="0" w:after="0" w:line="259" w:lineRule="auto"/>
        <w:rPr>
          <w:rFonts w:cs="Arial"/>
          <w:szCs w:val="22"/>
        </w:rPr>
      </w:pPr>
      <w:r w:rsidRPr="003964F4">
        <w:rPr>
          <w:rFonts w:cs="Arial"/>
          <w:szCs w:val="22"/>
        </w:rPr>
        <w:t>Determine ending inventory using the dollar-value LIFO inventory method.</w:t>
      </w:r>
    </w:p>
    <w:p w14:paraId="45489219" w14:textId="3F6A3B8B" w:rsidR="003964F4" w:rsidRPr="003964F4" w:rsidRDefault="003964F4" w:rsidP="007B1D0A">
      <w:pPr>
        <w:pStyle w:val="ListParagraph"/>
        <w:numPr>
          <w:ilvl w:val="1"/>
          <w:numId w:val="19"/>
        </w:numPr>
        <w:spacing w:before="0" w:after="0" w:line="259" w:lineRule="auto"/>
        <w:rPr>
          <w:rFonts w:cs="Arial"/>
          <w:szCs w:val="22"/>
        </w:rPr>
      </w:pPr>
      <w:r w:rsidRPr="003964F4">
        <w:rPr>
          <w:rFonts w:cs="Arial"/>
          <w:szCs w:val="22"/>
        </w:rPr>
        <w:t>Discuss the primary difference between U.S. GAAP and IFRS with respect to determining the cost of inventory.</w:t>
      </w:r>
    </w:p>
    <w:p w14:paraId="0A93BFC6" w14:textId="744D16D5" w:rsidR="003964F4" w:rsidRPr="003964F4" w:rsidRDefault="003964F4" w:rsidP="003964F4">
      <w:pPr>
        <w:pStyle w:val="ListParagraph"/>
        <w:numPr>
          <w:ilvl w:val="0"/>
          <w:numId w:val="19"/>
        </w:numPr>
        <w:spacing w:before="0" w:after="0" w:line="259" w:lineRule="auto"/>
        <w:rPr>
          <w:rFonts w:cs="Arial"/>
          <w:szCs w:val="22"/>
        </w:rPr>
      </w:pPr>
      <w:r w:rsidRPr="003964F4">
        <w:rPr>
          <w:rFonts w:cs="Arial"/>
          <w:szCs w:val="22"/>
        </w:rPr>
        <w:t>CHAPTER 9 INVENTORIES: ADDITIONAL ISSUES</w:t>
      </w:r>
    </w:p>
    <w:p w14:paraId="278D76B9" w14:textId="7943A1E9" w:rsidR="003964F4" w:rsidRPr="003964F4" w:rsidRDefault="003964F4" w:rsidP="007B1D0A">
      <w:pPr>
        <w:pStyle w:val="ListParagraph"/>
        <w:numPr>
          <w:ilvl w:val="1"/>
          <w:numId w:val="19"/>
        </w:numPr>
        <w:spacing w:before="0" w:after="0" w:line="259" w:lineRule="auto"/>
        <w:rPr>
          <w:rFonts w:cs="Arial"/>
          <w:szCs w:val="22"/>
        </w:rPr>
      </w:pPr>
      <w:r w:rsidRPr="003964F4">
        <w:rPr>
          <w:rFonts w:cs="Arial"/>
          <w:szCs w:val="22"/>
        </w:rPr>
        <w:t>Understand and apply the lower-of-cost-or-market rule used to value inventories.</w:t>
      </w:r>
    </w:p>
    <w:p w14:paraId="79104D74" w14:textId="0ABF315A" w:rsidR="003964F4" w:rsidRPr="003964F4" w:rsidRDefault="003964F4" w:rsidP="007B1D0A">
      <w:pPr>
        <w:pStyle w:val="ListParagraph"/>
        <w:numPr>
          <w:ilvl w:val="1"/>
          <w:numId w:val="19"/>
        </w:numPr>
        <w:spacing w:before="0" w:after="0" w:line="259" w:lineRule="auto"/>
        <w:rPr>
          <w:rFonts w:cs="Arial"/>
          <w:szCs w:val="22"/>
        </w:rPr>
      </w:pPr>
      <w:r w:rsidRPr="003964F4">
        <w:rPr>
          <w:rFonts w:cs="Arial"/>
          <w:szCs w:val="22"/>
        </w:rPr>
        <w:t>Estimate ending inventory and cost of goods sold using the gross profit method.</w:t>
      </w:r>
    </w:p>
    <w:p w14:paraId="01784877" w14:textId="32AC2E17" w:rsidR="003964F4" w:rsidRPr="003964F4" w:rsidRDefault="003964F4" w:rsidP="007B1D0A">
      <w:pPr>
        <w:pStyle w:val="ListParagraph"/>
        <w:numPr>
          <w:ilvl w:val="1"/>
          <w:numId w:val="19"/>
        </w:numPr>
        <w:spacing w:before="0" w:after="0" w:line="259" w:lineRule="auto"/>
        <w:rPr>
          <w:rFonts w:cs="Arial"/>
          <w:szCs w:val="22"/>
        </w:rPr>
      </w:pPr>
      <w:r w:rsidRPr="003964F4">
        <w:rPr>
          <w:rFonts w:cs="Arial"/>
          <w:szCs w:val="22"/>
        </w:rPr>
        <w:t>Estimate ending inventory and cost of goods sold using the retail inventory method, applying the various cost flow methods.</w:t>
      </w:r>
    </w:p>
    <w:p w14:paraId="7E80B14D" w14:textId="259F1C2D" w:rsidR="003964F4" w:rsidRPr="003964F4" w:rsidRDefault="003964F4" w:rsidP="007B1D0A">
      <w:pPr>
        <w:pStyle w:val="ListParagraph"/>
        <w:numPr>
          <w:ilvl w:val="1"/>
          <w:numId w:val="19"/>
        </w:numPr>
        <w:spacing w:before="0" w:after="0" w:line="259" w:lineRule="auto"/>
        <w:rPr>
          <w:rFonts w:cs="Arial"/>
          <w:szCs w:val="22"/>
        </w:rPr>
      </w:pPr>
      <w:r w:rsidRPr="003964F4">
        <w:rPr>
          <w:rFonts w:cs="Arial"/>
          <w:szCs w:val="22"/>
        </w:rPr>
        <w:t>Explain how the retail inventory method can be made to approximate the lower-of-cost-or-market rule.</w:t>
      </w:r>
    </w:p>
    <w:p w14:paraId="2A1EE065" w14:textId="58F3E2B3" w:rsidR="003964F4" w:rsidRPr="003964F4" w:rsidRDefault="003964F4" w:rsidP="007B1D0A">
      <w:pPr>
        <w:pStyle w:val="ListParagraph"/>
        <w:numPr>
          <w:ilvl w:val="1"/>
          <w:numId w:val="19"/>
        </w:numPr>
        <w:spacing w:before="0" w:after="0" w:line="259" w:lineRule="auto"/>
        <w:rPr>
          <w:rFonts w:cs="Arial"/>
          <w:szCs w:val="22"/>
        </w:rPr>
      </w:pPr>
      <w:r w:rsidRPr="003964F4">
        <w:rPr>
          <w:rFonts w:cs="Arial"/>
          <w:szCs w:val="22"/>
        </w:rPr>
        <w:t>Determine ending inventory using the dollar-value LIFO retail inventory method.</w:t>
      </w:r>
    </w:p>
    <w:p w14:paraId="7D9346A6" w14:textId="0B4BFDD6" w:rsidR="003964F4" w:rsidRPr="003964F4" w:rsidRDefault="003964F4" w:rsidP="007B1D0A">
      <w:pPr>
        <w:pStyle w:val="ListParagraph"/>
        <w:numPr>
          <w:ilvl w:val="1"/>
          <w:numId w:val="19"/>
        </w:numPr>
        <w:spacing w:before="0" w:after="0" w:line="259" w:lineRule="auto"/>
        <w:rPr>
          <w:rFonts w:cs="Arial"/>
          <w:szCs w:val="22"/>
        </w:rPr>
      </w:pPr>
      <w:r w:rsidRPr="003964F4">
        <w:rPr>
          <w:rFonts w:cs="Arial"/>
          <w:szCs w:val="22"/>
        </w:rPr>
        <w:t>Explain the appropriate accounting treatment required when a change in inventory method is made.</w:t>
      </w:r>
    </w:p>
    <w:p w14:paraId="160A44D8" w14:textId="273CB9AE" w:rsidR="003964F4" w:rsidRPr="003964F4" w:rsidRDefault="003964F4" w:rsidP="007B1D0A">
      <w:pPr>
        <w:pStyle w:val="ListParagraph"/>
        <w:numPr>
          <w:ilvl w:val="1"/>
          <w:numId w:val="19"/>
        </w:numPr>
        <w:spacing w:before="0" w:after="0" w:line="259" w:lineRule="auto"/>
        <w:rPr>
          <w:rFonts w:cs="Arial"/>
          <w:szCs w:val="22"/>
        </w:rPr>
      </w:pPr>
      <w:r w:rsidRPr="003964F4">
        <w:rPr>
          <w:rFonts w:cs="Arial"/>
          <w:szCs w:val="22"/>
        </w:rPr>
        <w:t>Explain the appropriate accounting treatment required when an inventory error is discovered.</w:t>
      </w:r>
    </w:p>
    <w:p w14:paraId="22FFD3BC" w14:textId="01581F2A" w:rsidR="003964F4" w:rsidRPr="003964F4" w:rsidRDefault="003964F4" w:rsidP="007B1D0A">
      <w:pPr>
        <w:pStyle w:val="ListParagraph"/>
        <w:numPr>
          <w:ilvl w:val="1"/>
          <w:numId w:val="19"/>
        </w:numPr>
        <w:spacing w:before="0" w:after="0" w:line="259" w:lineRule="auto"/>
        <w:rPr>
          <w:rFonts w:cs="Arial"/>
          <w:szCs w:val="22"/>
        </w:rPr>
      </w:pPr>
      <w:r w:rsidRPr="003964F4">
        <w:rPr>
          <w:rFonts w:cs="Arial"/>
          <w:szCs w:val="22"/>
        </w:rPr>
        <w:t>Discuss the primary differences between U.S. GAAP and IFRS with respect to the lower-of-cost-or-market rule for valuing inventory.</w:t>
      </w:r>
    </w:p>
    <w:p w14:paraId="4B6A8ECA" w14:textId="77777777" w:rsidR="003964F4" w:rsidRPr="003964F4" w:rsidRDefault="003964F4" w:rsidP="007B1D0A">
      <w:pPr>
        <w:pStyle w:val="ListParagraph"/>
        <w:spacing w:before="0" w:after="0" w:line="259" w:lineRule="auto"/>
        <w:rPr>
          <w:rFonts w:cs="Arial"/>
          <w:szCs w:val="22"/>
        </w:rPr>
      </w:pPr>
    </w:p>
    <w:p w14:paraId="3520CEA3" w14:textId="203E0C07" w:rsidR="003964F4" w:rsidRPr="003964F4" w:rsidRDefault="003964F4" w:rsidP="003964F4">
      <w:pPr>
        <w:pStyle w:val="ListParagraph"/>
        <w:numPr>
          <w:ilvl w:val="0"/>
          <w:numId w:val="19"/>
        </w:numPr>
        <w:spacing w:before="0" w:after="0" w:line="259" w:lineRule="auto"/>
        <w:rPr>
          <w:rFonts w:cs="Arial"/>
          <w:szCs w:val="22"/>
        </w:rPr>
      </w:pPr>
      <w:r w:rsidRPr="003964F4">
        <w:rPr>
          <w:rFonts w:cs="Arial"/>
          <w:szCs w:val="22"/>
        </w:rPr>
        <w:lastRenderedPageBreak/>
        <w:t>CHAPTER 10 PROPERTY, PLANT, AND EQUIPMENT AND INTANGIBLE ASSETS: ACQUISITION AND DISPOSITION</w:t>
      </w:r>
    </w:p>
    <w:p w14:paraId="61D19C6B" w14:textId="0DC5C1FD" w:rsidR="003964F4" w:rsidRPr="003964F4" w:rsidRDefault="003964F4" w:rsidP="007B1D0A">
      <w:pPr>
        <w:pStyle w:val="ListParagraph"/>
        <w:numPr>
          <w:ilvl w:val="1"/>
          <w:numId w:val="19"/>
        </w:numPr>
        <w:spacing w:before="0" w:after="0" w:line="259" w:lineRule="auto"/>
        <w:rPr>
          <w:rFonts w:cs="Arial"/>
          <w:szCs w:val="22"/>
        </w:rPr>
      </w:pPr>
      <w:r w:rsidRPr="003964F4">
        <w:rPr>
          <w:rFonts w:cs="Arial"/>
          <w:szCs w:val="22"/>
        </w:rPr>
        <w:t>Identify the various costs included in the initial cost of property, plant, and equipment, natural resources, and intangible assets.</w:t>
      </w:r>
    </w:p>
    <w:p w14:paraId="416AA351" w14:textId="79FFC4F1" w:rsidR="003964F4" w:rsidRPr="003964F4" w:rsidRDefault="003964F4" w:rsidP="007B1D0A">
      <w:pPr>
        <w:pStyle w:val="ListParagraph"/>
        <w:numPr>
          <w:ilvl w:val="1"/>
          <w:numId w:val="19"/>
        </w:numPr>
        <w:spacing w:before="0" w:after="0" w:line="259" w:lineRule="auto"/>
        <w:rPr>
          <w:rFonts w:cs="Arial"/>
          <w:szCs w:val="22"/>
        </w:rPr>
      </w:pPr>
      <w:r w:rsidRPr="003964F4">
        <w:rPr>
          <w:rFonts w:cs="Arial"/>
          <w:szCs w:val="22"/>
        </w:rPr>
        <w:t>Determine the initial cost of individual property, plant, and equipment and intangible assets acquired as a group for a lump-sum purchase price.</w:t>
      </w:r>
    </w:p>
    <w:p w14:paraId="33082A3A" w14:textId="73340130" w:rsidR="003964F4" w:rsidRPr="003964F4" w:rsidRDefault="003964F4" w:rsidP="007B1D0A">
      <w:pPr>
        <w:pStyle w:val="ListParagraph"/>
        <w:numPr>
          <w:ilvl w:val="1"/>
          <w:numId w:val="19"/>
        </w:numPr>
        <w:spacing w:before="0" w:after="0" w:line="259" w:lineRule="auto"/>
        <w:rPr>
          <w:rFonts w:cs="Arial"/>
          <w:szCs w:val="22"/>
        </w:rPr>
      </w:pPr>
      <w:r w:rsidRPr="003964F4">
        <w:rPr>
          <w:rFonts w:cs="Arial"/>
          <w:szCs w:val="22"/>
        </w:rPr>
        <w:t>Determine the initial cost of property, plant, and equipment and intangible assets acquired in exchange for a deferred payment contract.</w:t>
      </w:r>
    </w:p>
    <w:p w14:paraId="5B48B7B4" w14:textId="5FF38D48" w:rsidR="003964F4" w:rsidRPr="003964F4" w:rsidRDefault="003964F4" w:rsidP="007B1D0A">
      <w:pPr>
        <w:pStyle w:val="ListParagraph"/>
        <w:numPr>
          <w:ilvl w:val="1"/>
          <w:numId w:val="19"/>
        </w:numPr>
        <w:spacing w:before="0" w:after="0" w:line="259" w:lineRule="auto"/>
        <w:rPr>
          <w:rFonts w:cs="Arial"/>
          <w:szCs w:val="22"/>
        </w:rPr>
      </w:pPr>
      <w:r w:rsidRPr="003964F4">
        <w:rPr>
          <w:rFonts w:cs="Arial"/>
          <w:szCs w:val="22"/>
        </w:rPr>
        <w:t>Determine the initial cost of property, plant, and equipment and intangible assets acquired in exchange for equity securities, or through donation.</w:t>
      </w:r>
    </w:p>
    <w:p w14:paraId="0FBC5CEB" w14:textId="485823F3" w:rsidR="003964F4" w:rsidRPr="003964F4" w:rsidRDefault="003964F4" w:rsidP="007B1D0A">
      <w:pPr>
        <w:pStyle w:val="ListParagraph"/>
        <w:numPr>
          <w:ilvl w:val="1"/>
          <w:numId w:val="19"/>
        </w:numPr>
        <w:spacing w:before="0" w:after="0" w:line="259" w:lineRule="auto"/>
        <w:rPr>
          <w:rFonts w:cs="Arial"/>
          <w:szCs w:val="22"/>
        </w:rPr>
      </w:pPr>
      <w:r w:rsidRPr="003964F4">
        <w:rPr>
          <w:rFonts w:cs="Arial"/>
          <w:szCs w:val="22"/>
        </w:rPr>
        <w:t>Calculate the fixed-asset turnover ratio used by analysts to measure how effectively managers use property, plant, and equipment.</w:t>
      </w:r>
    </w:p>
    <w:p w14:paraId="484565C2" w14:textId="284AB0A3" w:rsidR="003964F4" w:rsidRPr="003964F4" w:rsidRDefault="003964F4" w:rsidP="007B1D0A">
      <w:pPr>
        <w:pStyle w:val="ListParagraph"/>
        <w:numPr>
          <w:ilvl w:val="1"/>
          <w:numId w:val="19"/>
        </w:numPr>
        <w:spacing w:before="0" w:after="0" w:line="259" w:lineRule="auto"/>
        <w:rPr>
          <w:rFonts w:cs="Arial"/>
          <w:szCs w:val="22"/>
        </w:rPr>
      </w:pPr>
      <w:r w:rsidRPr="003964F4">
        <w:rPr>
          <w:rFonts w:cs="Arial"/>
          <w:szCs w:val="22"/>
        </w:rPr>
        <w:t>Explain how to account for dispositions and exchanges for other nonmonetary assets</w:t>
      </w:r>
    </w:p>
    <w:p w14:paraId="295D9AC5" w14:textId="6E352FE6" w:rsidR="003964F4" w:rsidRPr="003964F4" w:rsidRDefault="003964F4" w:rsidP="007B1D0A">
      <w:pPr>
        <w:pStyle w:val="ListParagraph"/>
        <w:numPr>
          <w:ilvl w:val="1"/>
          <w:numId w:val="19"/>
        </w:numPr>
        <w:spacing w:before="0" w:after="0" w:line="259" w:lineRule="auto"/>
        <w:rPr>
          <w:rFonts w:cs="Arial"/>
          <w:szCs w:val="22"/>
        </w:rPr>
      </w:pPr>
      <w:r w:rsidRPr="003964F4">
        <w:rPr>
          <w:rFonts w:cs="Arial"/>
          <w:szCs w:val="22"/>
        </w:rPr>
        <w:t>Identify the items included in the cost of a self-constructed asset and determine the amount of capitalized interest.</w:t>
      </w:r>
    </w:p>
    <w:p w14:paraId="07074280" w14:textId="65E9D978" w:rsidR="003964F4" w:rsidRPr="003964F4" w:rsidRDefault="003964F4" w:rsidP="007B1D0A">
      <w:pPr>
        <w:pStyle w:val="ListParagraph"/>
        <w:numPr>
          <w:ilvl w:val="1"/>
          <w:numId w:val="19"/>
        </w:numPr>
        <w:spacing w:before="0" w:after="0" w:line="259" w:lineRule="auto"/>
        <w:rPr>
          <w:rFonts w:cs="Arial"/>
          <w:szCs w:val="22"/>
        </w:rPr>
      </w:pPr>
      <w:r w:rsidRPr="003964F4">
        <w:rPr>
          <w:rFonts w:cs="Arial"/>
          <w:szCs w:val="22"/>
        </w:rPr>
        <w:t>Explain the difference in the accounting treatment of costs incurred to purchase intangible assets versus the costs incurred to internally develop intangible assets.</w:t>
      </w:r>
    </w:p>
    <w:p w14:paraId="3C8ECE31" w14:textId="58648DCC" w:rsidR="003964F4" w:rsidRPr="003964F4" w:rsidRDefault="003964F4" w:rsidP="007B1D0A">
      <w:pPr>
        <w:pStyle w:val="ListParagraph"/>
        <w:numPr>
          <w:ilvl w:val="1"/>
          <w:numId w:val="19"/>
        </w:numPr>
        <w:spacing w:before="0" w:after="0" w:line="259" w:lineRule="auto"/>
        <w:rPr>
          <w:rFonts w:cs="Arial"/>
          <w:szCs w:val="22"/>
        </w:rPr>
      </w:pPr>
      <w:r w:rsidRPr="003964F4">
        <w:rPr>
          <w:rFonts w:cs="Arial"/>
          <w:szCs w:val="22"/>
        </w:rPr>
        <w:t>Discuss the primary differences between U.S. GAAP and IFRS with respect to the acquisition and disposition of property, plant, and equipment and intangible assets.</w:t>
      </w:r>
    </w:p>
    <w:p w14:paraId="5DF764E1" w14:textId="798B07C2" w:rsidR="006F0F6C" w:rsidRPr="00823C95" w:rsidRDefault="006F0F6C">
      <w:pPr>
        <w:spacing w:before="0" w:after="160" w:line="259" w:lineRule="auto"/>
        <w:rPr>
          <w:rFonts w:cs="Arial"/>
          <w:szCs w:val="22"/>
        </w:rPr>
      </w:pPr>
      <w:r w:rsidRPr="00823C95">
        <w:rPr>
          <w:rFonts w:cs="Arial"/>
          <w:szCs w:val="22"/>
        </w:rPr>
        <w:br w:type="page"/>
      </w:r>
    </w:p>
    <w:p w14:paraId="113F6246" w14:textId="77777777" w:rsidR="00743973" w:rsidRPr="00823C95" w:rsidRDefault="00743973" w:rsidP="00743973">
      <w:pPr>
        <w:pStyle w:val="Heading1"/>
        <w:jc w:val="left"/>
      </w:pPr>
      <w:r w:rsidRPr="00823C95">
        <w:lastRenderedPageBreak/>
        <w:t>Affirmative Action Statement</w:t>
      </w:r>
    </w:p>
    <w:p w14:paraId="47A9C0DD" w14:textId="77777777" w:rsidR="00743973" w:rsidRPr="00823C95" w:rsidRDefault="00743973" w:rsidP="00743973">
      <w:pPr>
        <w:rPr>
          <w:rFonts w:cs="Arial"/>
        </w:rPr>
      </w:pPr>
      <w:r w:rsidRPr="00823C95">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5658C948" w14:textId="77777777" w:rsidR="00743973" w:rsidRPr="00823C95" w:rsidRDefault="00743973" w:rsidP="00743973">
      <w:pPr>
        <w:rPr>
          <w:rFonts w:cs="Arial"/>
        </w:rPr>
      </w:pPr>
      <w:r w:rsidRPr="00823C95">
        <w:rPr>
          <w:rFonts w:cs="Arial"/>
        </w:rPr>
        <w:t xml:space="preserve">For questions concerning discrimination contact </w:t>
      </w:r>
      <w:proofErr w:type="spellStart"/>
      <w:r w:rsidRPr="00823C95">
        <w:rPr>
          <w:rFonts w:cs="Arial"/>
        </w:rPr>
        <w:t>Almarie</w:t>
      </w:r>
      <w:proofErr w:type="spellEnd"/>
      <w:r w:rsidRPr="00823C95">
        <w:rPr>
          <w:rFonts w:cs="Arial"/>
        </w:rPr>
        <w:t xml:space="preserve"> J. Jones, Executive Director, Diversity and Equity, Affirmative Action/Title IX Officer at 856-415-2154 or </w:t>
      </w:r>
      <w:hyperlink r:id="rId10" w:history="1">
        <w:r w:rsidRPr="00360432">
          <w:rPr>
            <w:rStyle w:val="Hyperlink"/>
            <w:rFonts w:cs="Arial"/>
          </w:rPr>
          <w:t>ajones@rcsj.edu</w:t>
        </w:r>
      </w:hyperlink>
      <w:r w:rsidRPr="00823C95">
        <w:rPr>
          <w:rFonts w:cs="Arial"/>
        </w:rPr>
        <w:t xml:space="preserve">. For disability issues, contact Dennis M. Cook, Director, Department of Special Services, ADAAA/504 Officer at 856-415-2265 or </w:t>
      </w:r>
      <w:hyperlink r:id="rId11" w:history="1">
        <w:r w:rsidRPr="00360432">
          <w:rPr>
            <w:rStyle w:val="Hyperlink"/>
            <w:rFonts w:cs="Arial"/>
          </w:rPr>
          <w:t>dcook@rcsj.edu.</w:t>
        </w:r>
      </w:hyperlink>
    </w:p>
    <w:p w14:paraId="272EB7AF" w14:textId="77777777" w:rsidR="00743973" w:rsidRPr="00823C95" w:rsidRDefault="00743973" w:rsidP="00743973">
      <w:pPr>
        <w:pStyle w:val="Heading2"/>
      </w:pPr>
      <w:r w:rsidRPr="00823C95">
        <w:t>Department of Special Services</w:t>
      </w:r>
    </w:p>
    <w:p w14:paraId="464976F6" w14:textId="77777777" w:rsidR="00743973" w:rsidRPr="00823C95" w:rsidRDefault="00743973" w:rsidP="00743973">
      <w:pPr>
        <w:rPr>
          <w:rFonts w:cs="Arial"/>
        </w:rPr>
      </w:pPr>
      <w:r w:rsidRPr="00823C95">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0B6592AA" w14:textId="77777777" w:rsidR="00743973" w:rsidRPr="00823C95" w:rsidRDefault="00743973" w:rsidP="00743973">
      <w:pPr>
        <w:rPr>
          <w:rFonts w:cs="Arial"/>
        </w:rPr>
      </w:pPr>
      <w:r w:rsidRPr="00823C95">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52B82852" w14:textId="77777777" w:rsidR="00743973" w:rsidRPr="00823C95" w:rsidRDefault="00743973" w:rsidP="00743973">
      <w:pPr>
        <w:rPr>
          <w:rFonts w:cs="Arial"/>
        </w:rPr>
      </w:pPr>
      <w:r w:rsidRPr="00823C95">
        <w:rPr>
          <w:rFonts w:cs="Arial"/>
        </w:rPr>
        <w:t>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w:t>
      </w:r>
      <w:r>
        <w:rPr>
          <w:rFonts w:cs="Arial"/>
        </w:rPr>
        <w:t>SJ</w:t>
      </w:r>
      <w:r w:rsidRPr="00823C95">
        <w:rPr>
          <w:rFonts w:cs="Arial"/>
        </w:rPr>
        <w:t xml:space="preserve"> students currently enrolled in credited academic courses, such as tutoring services and the college library, which offer online information research and other materials needed to complement their studies. </w:t>
      </w:r>
    </w:p>
    <w:p w14:paraId="7DEFC433" w14:textId="77777777" w:rsidR="00743973" w:rsidRPr="00823C95" w:rsidRDefault="00743973" w:rsidP="00743973">
      <w:pPr>
        <w:rPr>
          <w:rFonts w:cs="Arial"/>
        </w:rPr>
      </w:pPr>
      <w:r w:rsidRPr="00823C95">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7246E6BD" w14:textId="77777777" w:rsidR="00743973" w:rsidRPr="00823C95" w:rsidRDefault="00743973" w:rsidP="00743973">
      <w:pPr>
        <w:rPr>
          <w:rFonts w:cs="Arial"/>
        </w:rPr>
      </w:pPr>
      <w:r w:rsidRPr="00823C95">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w:t>
      </w:r>
      <w:r w:rsidRPr="00823C95">
        <w:rPr>
          <w:rFonts w:cs="Arial"/>
        </w:rPr>
        <w:lastRenderedPageBreak/>
        <w:t xml:space="preserve">schedule an appointment to meet Special Services staff, please call 856-415-2265 or click here for </w:t>
      </w:r>
      <w:hyperlink r:id="rId12">
        <w:r>
          <w:rPr>
            <w:rStyle w:val="Hyperlink"/>
            <w:rFonts w:cs="Arial"/>
          </w:rPr>
          <w:t>RCSJ.edu/</w:t>
        </w:r>
        <w:proofErr w:type="spellStart"/>
        <w:r>
          <w:rPr>
            <w:rStyle w:val="Hyperlink"/>
            <w:rFonts w:cs="Arial"/>
          </w:rPr>
          <w:t>SpecialServices</w:t>
        </w:r>
        <w:proofErr w:type="spellEnd"/>
        <w:r>
          <w:rPr>
            <w:rStyle w:val="Hyperlink"/>
            <w:rFonts w:cs="Arial"/>
          </w:rPr>
          <w:t>.</w:t>
        </w:r>
      </w:hyperlink>
    </w:p>
    <w:p w14:paraId="250ED793" w14:textId="77777777" w:rsidR="00743973" w:rsidRPr="00823C95" w:rsidRDefault="00743973" w:rsidP="00743973">
      <w:pPr>
        <w:pStyle w:val="Heading2"/>
      </w:pPr>
      <w:r w:rsidRPr="00823C95">
        <w:t>To Register with Special Services </w:t>
      </w:r>
    </w:p>
    <w:p w14:paraId="4570E011" w14:textId="77777777" w:rsidR="00743973" w:rsidRPr="00823C95" w:rsidRDefault="00743973" w:rsidP="00743973">
      <w:pPr>
        <w:rPr>
          <w:rFonts w:cs="Arial"/>
        </w:rPr>
      </w:pPr>
      <w:r w:rsidRPr="00823C95">
        <w:rPr>
          <w:rFonts w:cs="Arial"/>
        </w:rPr>
        <w:t>Students must follow these steps: </w:t>
      </w:r>
    </w:p>
    <w:p w14:paraId="1650D8D3" w14:textId="77777777" w:rsidR="00743973" w:rsidRPr="00823C95" w:rsidRDefault="00743973" w:rsidP="00743973">
      <w:pPr>
        <w:numPr>
          <w:ilvl w:val="0"/>
          <w:numId w:val="2"/>
        </w:numPr>
        <w:rPr>
          <w:rFonts w:cs="Arial"/>
        </w:rPr>
      </w:pPr>
      <w:r w:rsidRPr="00823C95">
        <w:rPr>
          <w:rFonts w:cs="Arial"/>
        </w:rPr>
        <w:t>Complete and submit the Student Profile form. Click here for the </w:t>
      </w:r>
      <w:hyperlink r:id="rId13">
        <w:r w:rsidRPr="00823C95">
          <w:rPr>
            <w:rStyle w:val="Hyperlink"/>
            <w:rFonts w:cs="Arial"/>
          </w:rPr>
          <w:t>Student Profile Form</w:t>
        </w:r>
      </w:hyperlink>
      <w:r w:rsidRPr="00823C95">
        <w:rPr>
          <w:rFonts w:cs="Arial"/>
          <w:u w:val="single"/>
        </w:rPr>
        <w:t>.</w:t>
      </w:r>
    </w:p>
    <w:p w14:paraId="369AD8AA" w14:textId="77777777" w:rsidR="00743973" w:rsidRPr="00823C95" w:rsidRDefault="00743973" w:rsidP="00743973">
      <w:pPr>
        <w:numPr>
          <w:ilvl w:val="0"/>
          <w:numId w:val="2"/>
        </w:numPr>
        <w:rPr>
          <w:rFonts w:cs="Arial"/>
        </w:rPr>
      </w:pPr>
      <w:r w:rsidRPr="00823C95">
        <w:rPr>
          <w:rFonts w:cs="Arial"/>
        </w:rPr>
        <w:t>Submit documentation detailing the student’s disability. Support services will not be granted without documentation specifying the student’s disability. Documentation should include the following information:</w:t>
      </w:r>
    </w:p>
    <w:p w14:paraId="6D76CC92" w14:textId="77777777" w:rsidR="00743973" w:rsidRPr="00823C95" w:rsidRDefault="00743973" w:rsidP="00743973">
      <w:pPr>
        <w:numPr>
          <w:ilvl w:val="1"/>
          <w:numId w:val="2"/>
        </w:numPr>
        <w:rPr>
          <w:rFonts w:cs="Arial"/>
        </w:rPr>
      </w:pPr>
      <w:r w:rsidRPr="00823C95">
        <w:rPr>
          <w:rFonts w:cs="Arial"/>
        </w:rPr>
        <w:t>Diagnosis with written evaluation of current disability; </w:t>
      </w:r>
    </w:p>
    <w:p w14:paraId="0192DC94" w14:textId="77777777" w:rsidR="00743973" w:rsidRPr="00823C95" w:rsidRDefault="00743973" w:rsidP="00743973">
      <w:pPr>
        <w:numPr>
          <w:ilvl w:val="1"/>
          <w:numId w:val="2"/>
        </w:numPr>
        <w:rPr>
          <w:rFonts w:cs="Arial"/>
        </w:rPr>
      </w:pPr>
      <w:r w:rsidRPr="00823C95">
        <w:rPr>
          <w:rFonts w:cs="Arial"/>
        </w:rPr>
        <w:t>Date the student was diagnosed; </w:t>
      </w:r>
    </w:p>
    <w:p w14:paraId="7A24BDA7" w14:textId="77777777" w:rsidR="00743973" w:rsidRPr="00823C95" w:rsidRDefault="00743973" w:rsidP="00743973">
      <w:pPr>
        <w:numPr>
          <w:ilvl w:val="1"/>
          <w:numId w:val="2"/>
        </w:numPr>
        <w:rPr>
          <w:rFonts w:cs="Arial"/>
        </w:rPr>
      </w:pPr>
      <w:r w:rsidRPr="00823C95">
        <w:rPr>
          <w:rFonts w:cs="Arial"/>
        </w:rPr>
        <w:t>Tests used to reach diagnosis;  </w:t>
      </w:r>
    </w:p>
    <w:p w14:paraId="6E8CB018" w14:textId="77777777" w:rsidR="00743973" w:rsidRPr="00823C95" w:rsidRDefault="00743973" w:rsidP="00743973">
      <w:pPr>
        <w:numPr>
          <w:ilvl w:val="1"/>
          <w:numId w:val="2"/>
        </w:numPr>
        <w:rPr>
          <w:rFonts w:cs="Arial"/>
        </w:rPr>
      </w:pPr>
      <w:r w:rsidRPr="00823C95">
        <w:rPr>
          <w:rFonts w:cs="Arial"/>
        </w:rPr>
        <w:t>Credentials of the medical professional conducting evaluation </w:t>
      </w:r>
    </w:p>
    <w:p w14:paraId="264C7AD6" w14:textId="77777777" w:rsidR="00743973" w:rsidRPr="00823C95" w:rsidRDefault="00743973" w:rsidP="00743973">
      <w:pPr>
        <w:numPr>
          <w:ilvl w:val="1"/>
          <w:numId w:val="2"/>
        </w:numPr>
        <w:rPr>
          <w:rFonts w:cs="Arial"/>
        </w:rPr>
      </w:pPr>
      <w:r w:rsidRPr="00823C95">
        <w:rPr>
          <w:rFonts w:cs="Arial"/>
        </w:rPr>
        <w:t>How the disability affects daily activities and/or academic performance. </w:t>
      </w:r>
    </w:p>
    <w:p w14:paraId="5F112FCB" w14:textId="77777777" w:rsidR="00743973" w:rsidRPr="00823C95" w:rsidRDefault="00743973" w:rsidP="00743973">
      <w:pPr>
        <w:pStyle w:val="ListParagraph"/>
        <w:numPr>
          <w:ilvl w:val="0"/>
          <w:numId w:val="4"/>
        </w:numPr>
        <w:rPr>
          <w:rFonts w:cs="Arial"/>
        </w:rPr>
      </w:pPr>
      <w:r w:rsidRPr="00823C95">
        <w:rPr>
          <w:rFonts w:cs="Arial"/>
        </w:rPr>
        <w:t>By clicking on the following links, students can download the </w:t>
      </w:r>
      <w:hyperlink r:id="rId14">
        <w:r w:rsidRPr="00823C95">
          <w:rPr>
            <w:rStyle w:val="Hyperlink"/>
            <w:rFonts w:cs="Arial"/>
          </w:rPr>
          <w:t>Special Education Records Release Form</w:t>
        </w:r>
      </w:hyperlink>
      <w:r w:rsidRPr="00823C95">
        <w:rPr>
          <w:rFonts w:cs="Arial"/>
        </w:rPr>
        <w:t> and/or Medical Release Form to present to their medical care professional. </w:t>
      </w:r>
    </w:p>
    <w:p w14:paraId="31636699" w14:textId="77777777" w:rsidR="00743973" w:rsidRPr="00823C95" w:rsidRDefault="00743973" w:rsidP="00743973">
      <w:pPr>
        <w:pStyle w:val="ListParagraph"/>
        <w:numPr>
          <w:ilvl w:val="0"/>
          <w:numId w:val="3"/>
        </w:numPr>
        <w:rPr>
          <w:rFonts w:cs="Arial"/>
        </w:rPr>
      </w:pPr>
      <w:r w:rsidRPr="00823C95">
        <w:rPr>
          <w:rFonts w:cs="Arial"/>
        </w:rPr>
        <w:t>Contact the Special Services office to schedule a meeting with a staff member.</w:t>
      </w:r>
    </w:p>
    <w:p w14:paraId="4D63CBFB" w14:textId="77777777" w:rsidR="00743973" w:rsidRPr="00823C95" w:rsidRDefault="00743973" w:rsidP="00743973">
      <w:pPr>
        <w:pStyle w:val="ListParagraph"/>
        <w:numPr>
          <w:ilvl w:val="1"/>
          <w:numId w:val="3"/>
        </w:numPr>
        <w:rPr>
          <w:rFonts w:cs="Arial"/>
        </w:rPr>
      </w:pPr>
      <w:r w:rsidRPr="00823C95">
        <w:rPr>
          <w:rFonts w:cs="Arial"/>
        </w:rPr>
        <w:t>Students should schedule a meeting after submitting the </w:t>
      </w:r>
      <w:hyperlink r:id="rId15">
        <w:r w:rsidRPr="00823C95">
          <w:rPr>
            <w:rStyle w:val="Hyperlink"/>
            <w:rFonts w:cs="Arial"/>
          </w:rPr>
          <w:t>Student Profile Form</w:t>
        </w:r>
      </w:hyperlink>
      <w:r w:rsidRPr="00823C95">
        <w:rPr>
          <w:rFonts w:cs="Arial"/>
        </w:rPr>
        <w:t>, proper documentation and completing the College’s placement test. (Click on </w:t>
      </w:r>
      <w:hyperlink r:id="rId16">
        <w:r w:rsidRPr="00823C95">
          <w:rPr>
            <w:rStyle w:val="Hyperlink"/>
            <w:rFonts w:cs="Arial"/>
          </w:rPr>
          <w:t>Special Accommodations for Placement Testing</w:t>
        </w:r>
      </w:hyperlink>
      <w:r w:rsidRPr="00823C95">
        <w:rPr>
          <w:rFonts w:cs="Arial"/>
        </w:rPr>
        <w:t> to determine whether student should arrange his/her placement test through the Special Services office or the general Testing Center. </w:t>
      </w:r>
    </w:p>
    <w:p w14:paraId="08953234" w14:textId="77777777" w:rsidR="00743973" w:rsidRPr="00823C95" w:rsidRDefault="00743973" w:rsidP="00743973">
      <w:pPr>
        <w:pStyle w:val="ListParagraph"/>
        <w:numPr>
          <w:ilvl w:val="1"/>
          <w:numId w:val="3"/>
        </w:numPr>
        <w:rPr>
          <w:rFonts w:cs="Arial"/>
        </w:rPr>
      </w:pPr>
      <w:r w:rsidRPr="00823C95">
        <w:rPr>
          <w:rFonts w:cs="Arial"/>
        </w:rPr>
        <w:t>During the meeting, the student and staff member will discuss his or her disability and determine eligible accommodations. </w:t>
      </w:r>
    </w:p>
    <w:p w14:paraId="5EB3BC72" w14:textId="77777777" w:rsidR="00743973" w:rsidRPr="00823C95" w:rsidRDefault="00743973" w:rsidP="00743973">
      <w:pPr>
        <w:pStyle w:val="Heading2"/>
      </w:pPr>
      <w:r w:rsidRPr="00823C95">
        <w:t>Accommodations </w:t>
      </w:r>
    </w:p>
    <w:p w14:paraId="30514D2A" w14:textId="77777777" w:rsidR="00743973" w:rsidRPr="00823C95" w:rsidRDefault="00743973" w:rsidP="00743973">
      <w:pPr>
        <w:rPr>
          <w:rFonts w:cs="Arial"/>
        </w:rPr>
      </w:pPr>
      <w:r w:rsidRPr="00823C95">
        <w:rPr>
          <w:rFonts w:cs="Arial"/>
        </w:rPr>
        <w:t>Students who qualify for accommodations are encouraged to register with the Department of Special Services at RC</w:t>
      </w:r>
      <w:r>
        <w:rPr>
          <w:rFonts w:cs="Arial"/>
        </w:rPr>
        <w:t>SJ</w:t>
      </w:r>
      <w:r w:rsidRPr="00823C95">
        <w:rPr>
          <w:rFonts w:cs="Arial"/>
        </w:rPr>
        <w:t xml:space="preserve"> before they begin their academic career at Rowan College. This allows students to take advantage of any special accommodations and auxiliary aids that they might need and be eligible to receive.  </w:t>
      </w:r>
    </w:p>
    <w:p w14:paraId="3A09FF60" w14:textId="77777777" w:rsidR="00743973" w:rsidRPr="00823C95" w:rsidRDefault="00743973" w:rsidP="00743973">
      <w:pPr>
        <w:pStyle w:val="ListParagraph"/>
        <w:numPr>
          <w:ilvl w:val="0"/>
          <w:numId w:val="3"/>
        </w:numPr>
        <w:rPr>
          <w:rFonts w:cs="Arial"/>
        </w:rPr>
      </w:pPr>
      <w:r w:rsidRPr="00823C95">
        <w:rPr>
          <w:rFonts w:cs="Arial"/>
          <w:b/>
          <w:bCs/>
        </w:rPr>
        <w:t>Special accommodations</w:t>
      </w:r>
      <w:r w:rsidRPr="00823C95">
        <w:rPr>
          <w:rFonts w:cs="Arial"/>
        </w:rPr>
        <w:t> include but are not limited to extended time on tests, private test rooms to complete tests with the assistance of a reader or scribe, as well as a distraction-free test room. </w:t>
      </w:r>
    </w:p>
    <w:p w14:paraId="2C96EBC7" w14:textId="77777777" w:rsidR="00743973" w:rsidRPr="00823C95" w:rsidRDefault="00743973" w:rsidP="00743973">
      <w:pPr>
        <w:pStyle w:val="ListParagraph"/>
        <w:numPr>
          <w:ilvl w:val="0"/>
          <w:numId w:val="3"/>
        </w:numPr>
        <w:rPr>
          <w:rFonts w:cs="Arial"/>
        </w:rPr>
      </w:pPr>
      <w:r w:rsidRPr="00823C95">
        <w:rPr>
          <w:rFonts w:cs="Arial"/>
          <w:b/>
          <w:bCs/>
        </w:rPr>
        <w:t>Auxiliary aids </w:t>
      </w:r>
      <w:r w:rsidRPr="00823C95">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17">
        <w:r w:rsidRPr="00823C95">
          <w:rPr>
            <w:rStyle w:val="Hyperlink"/>
            <w:rFonts w:cs="Arial"/>
          </w:rPr>
          <w:t>technology</w:t>
        </w:r>
      </w:hyperlink>
      <w:r w:rsidRPr="00823C95">
        <w:rPr>
          <w:rFonts w:cs="Arial"/>
        </w:rPr>
        <w:t> link. Students are responsible for identifying which accommodations and auxiliary aids they require for academic support. </w:t>
      </w:r>
    </w:p>
    <w:p w14:paraId="34E00C55" w14:textId="77777777" w:rsidR="00743973" w:rsidRPr="00823C95" w:rsidRDefault="00743973" w:rsidP="00743973">
      <w:pPr>
        <w:pStyle w:val="Heading2"/>
      </w:pPr>
      <w:r w:rsidRPr="00823C95">
        <w:lastRenderedPageBreak/>
        <w:t>Confidentiality </w:t>
      </w:r>
    </w:p>
    <w:p w14:paraId="1245E6F5" w14:textId="77777777" w:rsidR="00743973" w:rsidRPr="00823C95" w:rsidRDefault="00743973" w:rsidP="00743973">
      <w:pPr>
        <w:rPr>
          <w:rFonts w:cs="Arial"/>
        </w:rPr>
      </w:pPr>
      <w:r w:rsidRPr="00823C95">
        <w:rPr>
          <w:rFonts w:cs="Arial"/>
        </w:rPr>
        <w:t>Students who register with the Department of Special Services are assured that their information is kept confidential.  </w:t>
      </w:r>
    </w:p>
    <w:p w14:paraId="1EBA02D2" w14:textId="77777777" w:rsidR="00743973" w:rsidRDefault="00743973" w:rsidP="00743973">
      <w:r w:rsidRPr="00823C95">
        <w:rPr>
          <w:rFonts w:cs="Arial"/>
        </w:rPr>
        <w:t>In addition, the student's transcript will not indicate that the he or she is registered with the Department of Special Services. The student's specific special need is not disclosed to the student's instructors. However, accommodation letters are sent to each of the student’s professors if the student needs testing accommodations or accommodations in the classroom. It is the student's choice whether or not to disclose the </w:t>
      </w:r>
      <w:r>
        <w:rPr>
          <w:rFonts w:cs="Arial"/>
        </w:rPr>
        <w:t>specifics</w:t>
      </w:r>
      <w:r w:rsidRPr="00823C95">
        <w:rPr>
          <w:rFonts w:cs="Arial"/>
        </w:rPr>
        <w:t> of his or her special need.</w:t>
      </w:r>
      <w:r>
        <w:t xml:space="preserve"> </w:t>
      </w:r>
    </w:p>
    <w:p w14:paraId="610B0682" w14:textId="77777777" w:rsidR="00743973" w:rsidRDefault="00743973" w:rsidP="00743973">
      <w:pPr>
        <w:spacing w:before="0" w:after="160" w:line="259" w:lineRule="auto"/>
        <w:rPr>
          <w:rFonts w:cs="Arial"/>
        </w:rPr>
      </w:pPr>
      <w:r>
        <w:rPr>
          <w:rFonts w:cs="Arial"/>
        </w:rPr>
        <w:br w:type="page"/>
      </w:r>
    </w:p>
    <w:p w14:paraId="7F05895B" w14:textId="77777777" w:rsidR="00743973" w:rsidRPr="00B63830" w:rsidRDefault="00743973" w:rsidP="00743973">
      <w:pPr>
        <w:spacing w:before="0" w:after="0" w:line="240" w:lineRule="auto"/>
        <w:jc w:val="center"/>
        <w:rPr>
          <w:rFonts w:ascii="Calibri" w:eastAsia="Calibri" w:hAnsi="Calibri"/>
          <w:sz w:val="24"/>
          <w:szCs w:val="24"/>
          <w:lang w:eastAsia="en-US"/>
        </w:rPr>
      </w:pPr>
      <w:r w:rsidRPr="00B63830">
        <w:rPr>
          <w:rFonts w:ascii="Calibri" w:eastAsia="Calibri" w:hAnsi="Calibri"/>
          <w:b/>
          <w:sz w:val="24"/>
          <w:szCs w:val="24"/>
          <w:lang w:eastAsia="en-US"/>
        </w:rPr>
        <w:lastRenderedPageBreak/>
        <w:t xml:space="preserve">RCSJ – Gloucester – Main Campus </w:t>
      </w:r>
    </w:p>
    <w:p w14:paraId="127369FD" w14:textId="77777777" w:rsidR="00743973" w:rsidRPr="00B63830" w:rsidRDefault="00743973" w:rsidP="00743973">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Reporting Allegations of Sexual Assault and Resource Referrals </w:t>
      </w:r>
    </w:p>
    <w:p w14:paraId="70B5C12F" w14:textId="77777777" w:rsidR="00743973" w:rsidRDefault="00743973" w:rsidP="00743973">
      <w:pPr>
        <w:spacing w:before="0" w:after="160" w:line="259" w:lineRule="auto"/>
        <w:rPr>
          <w:rFonts w:ascii="Calibri" w:eastAsia="Calibri" w:hAnsi="Calibri"/>
          <w:b/>
          <w:sz w:val="20"/>
          <w:szCs w:val="20"/>
          <w:lang w:eastAsia="en-US"/>
        </w:rPr>
      </w:pPr>
      <w:r w:rsidRPr="00B63830">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sidRPr="00B63830">
        <w:rPr>
          <w:rFonts w:ascii="Calibri" w:eastAsia="Calibri" w:hAnsi="Calibri"/>
          <w:b/>
          <w:sz w:val="20"/>
          <w:szCs w:val="20"/>
          <w:lang w:eastAsia="en-US"/>
        </w:rPr>
        <w:t>rev. 8/2019</w:t>
      </w:r>
    </w:p>
    <w:p w14:paraId="07C123B6" w14:textId="77777777" w:rsidR="00743973" w:rsidRDefault="00743973" w:rsidP="00743973">
      <w:pPr>
        <w:spacing w:before="0" w:after="0" w:line="259" w:lineRule="auto"/>
        <w:rPr>
          <w:rFonts w:cs="Arial"/>
        </w:rPr>
      </w:pPr>
      <w:r w:rsidRPr="00B63830">
        <w:rPr>
          <w:rFonts w:ascii="Calibri" w:eastAsia="Calibri" w:hAnsi="Calibri"/>
          <w:sz w:val="20"/>
          <w:szCs w:val="20"/>
          <w:lang w:eastAsia="en-US"/>
        </w:rPr>
        <w:t xml:space="preserve">All students are encouraged to report alleged crimes on campus.  Crimes that pose a threat to the campus community </w:t>
      </w:r>
      <w:r w:rsidRPr="00B63830">
        <w:rPr>
          <w:rFonts w:ascii="Calibri" w:eastAsia="Calibri" w:hAnsi="Calibri"/>
          <w:sz w:val="20"/>
          <w:szCs w:val="20"/>
          <w:u w:val="single"/>
          <w:lang w:eastAsia="en-US"/>
        </w:rPr>
        <w:t>must</w:t>
      </w:r>
      <w:r w:rsidRPr="00B63830">
        <w:rPr>
          <w:rFonts w:ascii="Calibri" w:eastAsia="Calibri" w:hAnsi="Calibri"/>
          <w:sz w:val="20"/>
          <w:szCs w:val="20"/>
          <w:lang w:eastAsia="en-US"/>
        </w:rPr>
        <w:t xml:space="preserve"> be reported to </w:t>
      </w:r>
      <w:r w:rsidRPr="00B63830">
        <w:rPr>
          <w:rFonts w:ascii="Calibri" w:eastAsia="Calibri" w:hAnsi="Calibri"/>
          <w:color w:val="FF0000"/>
          <w:sz w:val="20"/>
          <w:szCs w:val="20"/>
          <w:lang w:eastAsia="en-US"/>
        </w:rPr>
        <w:t>9-1-1</w:t>
      </w:r>
      <w:r w:rsidRPr="00B63830">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743973" w:rsidRPr="00B63830" w14:paraId="72E0108F" w14:textId="77777777" w:rsidTr="00586837">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1783A582" w14:textId="77777777" w:rsidR="00743973" w:rsidRPr="00B63830" w:rsidRDefault="00743973" w:rsidP="00586837">
            <w:pPr>
              <w:spacing w:before="0" w:after="0" w:line="240" w:lineRule="auto"/>
              <w:jc w:val="center"/>
              <w:rPr>
                <w:rFonts w:ascii="Calibri" w:eastAsia="Calibri" w:hAnsi="Calibri"/>
                <w:b/>
                <w:szCs w:val="24"/>
                <w:lang w:eastAsia="en-US"/>
              </w:rPr>
            </w:pPr>
            <w:r>
              <w:rPr>
                <w:rFonts w:ascii="Calibri" w:eastAsia="Calibri" w:hAnsi="Calibri"/>
                <w:b/>
                <w:szCs w:val="24"/>
                <w:lang w:eastAsia="en-US"/>
              </w:rPr>
              <w:t>S</w:t>
            </w:r>
            <w:r w:rsidRPr="00B63830">
              <w:rPr>
                <w:rFonts w:ascii="Calibri" w:eastAsia="Calibri" w:hAnsi="Calibri"/>
                <w:b/>
                <w:szCs w:val="24"/>
                <w:lang w:eastAsia="en-US"/>
              </w:rPr>
              <w:t>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30711C08" w14:textId="77777777" w:rsidR="00743973" w:rsidRPr="00B63830" w:rsidRDefault="00743973"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7E4D3465" w14:textId="77777777" w:rsidR="00743973" w:rsidRPr="00B63830" w:rsidRDefault="00743973"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Phone Number/Location/Website</w:t>
            </w:r>
          </w:p>
        </w:tc>
      </w:tr>
      <w:tr w:rsidR="00743973" w:rsidRPr="00B63830" w14:paraId="512BA573" w14:textId="77777777" w:rsidTr="00586837">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18E8202F" w14:textId="77777777" w:rsidR="00743973" w:rsidRPr="00B63830" w:rsidRDefault="0074397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1C2763A6" w14:textId="77777777" w:rsidR="00743973" w:rsidRPr="00B63830" w:rsidRDefault="0074397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2E26901A" w14:textId="77777777" w:rsidR="00743973" w:rsidRPr="00B63830" w:rsidRDefault="00743973" w:rsidP="00586837">
            <w:pPr>
              <w:spacing w:before="0" w:after="0" w:line="240" w:lineRule="auto"/>
              <w:jc w:val="center"/>
              <w:rPr>
                <w:rFonts w:ascii="Calibri" w:eastAsia="Calibri" w:hAnsi="Calibri"/>
                <w:szCs w:val="20"/>
                <w:lang w:eastAsia="en-US"/>
              </w:rPr>
            </w:pPr>
          </w:p>
          <w:p w14:paraId="18730326" w14:textId="77777777" w:rsidR="00743973" w:rsidRPr="00B63830" w:rsidRDefault="0074397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0F4C8A25" w14:textId="77777777" w:rsidR="00743973" w:rsidRDefault="00743973"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 Sheriff’s Office</w:t>
            </w:r>
          </w:p>
          <w:p w14:paraId="065C6FE8" w14:textId="77777777" w:rsidR="00743973" w:rsidRPr="00B63830" w:rsidRDefault="00743973" w:rsidP="00586837">
            <w:pPr>
              <w:spacing w:before="0" w:after="0" w:line="240" w:lineRule="auto"/>
              <w:jc w:val="center"/>
              <w:rPr>
                <w:rFonts w:ascii="Calibri" w:eastAsia="Calibri" w:hAnsi="Calibri"/>
                <w:sz w:val="10"/>
                <w:szCs w:val="10"/>
                <w:lang w:eastAsia="en-US"/>
              </w:rPr>
            </w:pPr>
          </w:p>
          <w:p w14:paraId="233DCF2E" w14:textId="77777777" w:rsidR="00743973" w:rsidRDefault="00743973"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Deptford Township Police Dept.</w:t>
            </w:r>
          </w:p>
          <w:p w14:paraId="1541DE85" w14:textId="77777777" w:rsidR="00743973" w:rsidRPr="003E4107" w:rsidRDefault="00743973" w:rsidP="00586837">
            <w:pPr>
              <w:spacing w:before="0" w:after="0" w:line="240" w:lineRule="auto"/>
              <w:jc w:val="center"/>
              <w:rPr>
                <w:rFonts w:ascii="Calibri" w:eastAsia="Calibri" w:hAnsi="Calibri"/>
                <w:sz w:val="10"/>
                <w:szCs w:val="10"/>
                <w:lang w:eastAsia="en-US"/>
              </w:rPr>
            </w:pPr>
          </w:p>
          <w:p w14:paraId="1B0260BF" w14:textId="77777777" w:rsidR="00743973" w:rsidRPr="00B63830" w:rsidRDefault="00743973"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w:t>
            </w:r>
          </w:p>
          <w:p w14:paraId="45463D5A" w14:textId="77777777" w:rsidR="00743973" w:rsidRPr="00B63830" w:rsidRDefault="00743973" w:rsidP="00586837">
            <w:pPr>
              <w:spacing w:before="0" w:after="0" w:line="240" w:lineRule="auto"/>
              <w:jc w:val="center"/>
              <w:rPr>
                <w:rFonts w:ascii="Calibri" w:eastAsia="Calibri" w:hAnsi="Calibri"/>
                <w:sz w:val="10"/>
                <w:szCs w:val="10"/>
                <w:lang w:eastAsia="en-US"/>
              </w:rPr>
            </w:pPr>
            <w:r w:rsidRPr="00B63830">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32AC87DA" w14:textId="77777777" w:rsidR="00743973" w:rsidRDefault="00743973"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856-681-2200</w:t>
            </w:r>
          </w:p>
          <w:p w14:paraId="1FE48E17" w14:textId="77777777" w:rsidR="00743973" w:rsidRPr="00B63830" w:rsidRDefault="00743973" w:rsidP="00586837">
            <w:pPr>
              <w:spacing w:before="0" w:after="0" w:line="240" w:lineRule="auto"/>
              <w:jc w:val="center"/>
              <w:rPr>
                <w:rFonts w:ascii="Calibri" w:eastAsia="Calibri" w:hAnsi="Calibri"/>
                <w:b/>
                <w:sz w:val="24"/>
                <w:szCs w:val="24"/>
                <w:lang w:eastAsia="en-US"/>
              </w:rPr>
            </w:pPr>
          </w:p>
          <w:p w14:paraId="1E2BBE4E" w14:textId="77777777" w:rsidR="00743973" w:rsidRDefault="00743973"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856-845-2220</w:t>
            </w:r>
          </w:p>
          <w:p w14:paraId="0F3087C9" w14:textId="77777777" w:rsidR="00743973" w:rsidRPr="00B63830" w:rsidRDefault="00743973" w:rsidP="00586837">
            <w:pPr>
              <w:spacing w:before="0" w:after="0" w:line="240" w:lineRule="auto"/>
              <w:jc w:val="center"/>
              <w:rPr>
                <w:rFonts w:ascii="Calibri" w:eastAsia="Calibri" w:hAnsi="Calibri"/>
                <w:b/>
                <w:sz w:val="24"/>
                <w:szCs w:val="24"/>
                <w:lang w:eastAsia="en-US"/>
              </w:rPr>
            </w:pPr>
          </w:p>
          <w:p w14:paraId="53D5EE81" w14:textId="77777777" w:rsidR="00743973" w:rsidRPr="00B63830" w:rsidRDefault="00743973"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856-384-5500</w:t>
            </w:r>
          </w:p>
        </w:tc>
      </w:tr>
      <w:tr w:rsidR="00743973" w:rsidRPr="00B63830" w14:paraId="1C3DF613"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12771DC6" w14:textId="77777777" w:rsidR="00743973" w:rsidRPr="00B63830" w:rsidRDefault="0074397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7EBDE51B" w14:textId="77777777" w:rsidR="00743973" w:rsidRPr="00B63830" w:rsidRDefault="0074397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560B3524" w14:textId="77777777" w:rsidR="00743973" w:rsidRPr="00B63830" w:rsidRDefault="00743973" w:rsidP="00586837">
            <w:pPr>
              <w:spacing w:before="0" w:after="0" w:line="240" w:lineRule="auto"/>
              <w:jc w:val="center"/>
              <w:rPr>
                <w:rFonts w:ascii="Calibri" w:eastAsia="Calibri" w:hAnsi="Calibri"/>
                <w:szCs w:val="20"/>
                <w:lang w:eastAsia="en-US"/>
              </w:rPr>
            </w:pPr>
            <w:r w:rsidRPr="00B63830">
              <w:rPr>
                <w:rFonts w:ascii="Calibri" w:eastAsia="Calibri" w:hAnsi="Calibri"/>
                <w:b/>
                <w:color w:val="FF0000"/>
                <w:szCs w:val="20"/>
                <w:lang w:eastAsia="en-US"/>
              </w:rPr>
              <w:t>9-1-1</w:t>
            </w:r>
            <w:r w:rsidRPr="00B63830">
              <w:rPr>
                <w:rFonts w:ascii="Calibri" w:eastAsia="Calibri" w:hAnsi="Calibri"/>
                <w:color w:val="FF0000"/>
                <w:szCs w:val="20"/>
                <w:lang w:eastAsia="en-US"/>
              </w:rPr>
              <w:t xml:space="preserve"> </w:t>
            </w:r>
            <w:r w:rsidRPr="00B63830">
              <w:rPr>
                <w:rFonts w:ascii="Calibri" w:eastAsia="Calibri" w:hAnsi="Calibri"/>
                <w:szCs w:val="20"/>
                <w:lang w:eastAsia="en-US"/>
              </w:rPr>
              <w:t>and</w:t>
            </w:r>
          </w:p>
          <w:p w14:paraId="07029B7F" w14:textId="77777777" w:rsidR="00743973" w:rsidRPr="00B63830" w:rsidRDefault="0074397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Campus</w:t>
            </w:r>
          </w:p>
          <w:p w14:paraId="0A13FC74" w14:textId="77777777" w:rsidR="00743973" w:rsidRPr="00B63830" w:rsidRDefault="00743973"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3BC8B326" w14:textId="77777777" w:rsidR="00743973" w:rsidRPr="00833054" w:rsidRDefault="00743973"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color w:val="000000"/>
                <w:sz w:val="22"/>
                <w:szCs w:val="22"/>
                <w:lang w:eastAsia="en-US"/>
              </w:rPr>
              <w:t>Gloucester County</w:t>
            </w:r>
          </w:p>
          <w:p w14:paraId="1D8D9DCF" w14:textId="77777777" w:rsidR="00743973" w:rsidRPr="00833054" w:rsidRDefault="00743973"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color w:val="000000"/>
                <w:sz w:val="22"/>
                <w:szCs w:val="22"/>
                <w:lang w:eastAsia="en-US"/>
              </w:rPr>
              <w:t>Emergency Management Dispatch</w:t>
            </w:r>
          </w:p>
          <w:p w14:paraId="5CEBE258" w14:textId="77777777" w:rsidR="00743973" w:rsidRPr="00833054" w:rsidRDefault="00743973" w:rsidP="00586837">
            <w:pPr>
              <w:spacing w:before="0" w:after="0" w:line="240" w:lineRule="auto"/>
              <w:jc w:val="center"/>
              <w:rPr>
                <w:rFonts w:ascii="Calibri" w:eastAsia="Calibri" w:hAnsi="Calibri"/>
                <w:b/>
                <w:color w:val="FF0000"/>
                <w:sz w:val="10"/>
                <w:szCs w:val="10"/>
                <w:lang w:eastAsia="en-US"/>
              </w:rPr>
            </w:pPr>
          </w:p>
          <w:p w14:paraId="60572322" w14:textId="77777777" w:rsidR="00743973" w:rsidRPr="00B63830" w:rsidRDefault="00743973" w:rsidP="00586837">
            <w:pPr>
              <w:spacing w:before="0" w:after="0" w:line="240" w:lineRule="auto"/>
              <w:jc w:val="center"/>
              <w:rPr>
                <w:rFonts w:ascii="Calibri" w:eastAsia="Calibri" w:hAnsi="Calibri"/>
                <w:color w:val="365F91"/>
                <w:szCs w:val="20"/>
                <w:lang w:eastAsia="en-US"/>
              </w:rPr>
            </w:pPr>
            <w:r w:rsidRPr="00B63830">
              <w:rPr>
                <w:rFonts w:ascii="Calibri" w:eastAsia="Calibri" w:hAnsi="Calibri"/>
                <w:sz w:val="24"/>
                <w:szCs w:val="24"/>
                <w:lang w:eastAsia="en-US"/>
              </w:rPr>
              <w:t>Campus Security</w:t>
            </w:r>
          </w:p>
          <w:p w14:paraId="09EBAF0A" w14:textId="77777777" w:rsidR="00743973" w:rsidRPr="00B63830" w:rsidRDefault="00743973" w:rsidP="00586837">
            <w:pPr>
              <w:spacing w:before="0" w:after="0" w:line="240" w:lineRule="auto"/>
              <w:jc w:val="center"/>
              <w:rPr>
                <w:rFonts w:ascii="Calibri" w:eastAsia="Calibri" w:hAnsi="Calibri"/>
                <w:b/>
                <w:color w:val="FF0000"/>
                <w:sz w:val="24"/>
                <w:szCs w:val="24"/>
                <w:lang w:eastAsia="en-US"/>
              </w:rPr>
            </w:pPr>
            <w:r w:rsidRPr="00B63830">
              <w:rPr>
                <w:rFonts w:ascii="Calibri" w:eastAsia="Calibri" w:hAnsi="Calibri"/>
                <w:b/>
                <w:color w:val="365F91"/>
                <w:szCs w:val="20"/>
                <w:lang w:eastAsia="en-US"/>
              </w:rPr>
              <w:t xml:space="preserve">Blue Light </w:t>
            </w:r>
            <w:r w:rsidRPr="00B63830">
              <w:rPr>
                <w:rFonts w:ascii="Calibri" w:eastAsia="Calibri" w:hAnsi="Calibri"/>
                <w:b/>
                <w:szCs w:val="20"/>
                <w:lang w:eastAsia="en-US"/>
              </w:rPr>
              <w:t xml:space="preserve">Emergency Phones </w:t>
            </w:r>
            <w:r w:rsidRPr="00B63830">
              <w:rPr>
                <w:rFonts w:ascii="Calibri" w:eastAsia="Calibri" w:hAnsi="Calibri"/>
                <w:b/>
                <w:szCs w:val="20"/>
                <w:u w:val="single"/>
                <w:lang w:eastAsia="en-US"/>
              </w:rPr>
              <w:t>or</w:t>
            </w:r>
            <w:r w:rsidRPr="00736CE4">
              <w:rPr>
                <w:rFonts w:ascii="Calibri" w:eastAsia="Calibri" w:hAnsi="Calibri"/>
                <w:b/>
                <w:szCs w:val="20"/>
                <w:lang w:eastAsia="en-US"/>
              </w:rPr>
              <w:t xml:space="preserve"> t</w:t>
            </w:r>
            <w:r w:rsidRPr="00B63830">
              <w:rPr>
                <w:rFonts w:ascii="Calibri" w:eastAsia="Calibri" w:hAnsi="Calibri"/>
                <w:b/>
                <w:szCs w:val="20"/>
                <w:lang w:eastAsia="en-US"/>
              </w:rPr>
              <w:t xml:space="preserve">ext. </w:t>
            </w:r>
            <w:r w:rsidRPr="00B63830">
              <w:rPr>
                <w:rFonts w:ascii="Calibri" w:eastAsia="Calibri" w:hAnsi="Calibri"/>
                <w:b/>
                <w:sz w:val="24"/>
                <w:szCs w:val="24"/>
                <w:lang w:eastAsia="en-US"/>
              </w:rPr>
              <w:t>4444</w:t>
            </w:r>
            <w:r w:rsidRPr="00B63830">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31A6C463" w14:textId="77777777" w:rsidR="00743973" w:rsidRPr="00833054" w:rsidRDefault="00743973" w:rsidP="00586837">
            <w:pPr>
              <w:spacing w:before="0" w:after="0" w:line="240" w:lineRule="auto"/>
              <w:jc w:val="center"/>
              <w:rPr>
                <w:rFonts w:ascii="Calibri" w:eastAsia="Calibri" w:hAnsi="Calibri"/>
                <w:b/>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b/>
                <w:sz w:val="22"/>
                <w:szCs w:val="22"/>
                <w:lang w:eastAsia="en-US"/>
              </w:rPr>
              <w:t>or</w:t>
            </w:r>
            <w:r w:rsidRPr="00833054">
              <w:rPr>
                <w:rFonts w:ascii="Calibri" w:eastAsia="Calibri" w:hAnsi="Calibri"/>
                <w:b/>
                <w:color w:val="FF0000"/>
                <w:sz w:val="22"/>
                <w:szCs w:val="22"/>
                <w:lang w:eastAsia="en-US"/>
              </w:rPr>
              <w:t xml:space="preserve"> </w:t>
            </w:r>
            <w:r w:rsidRPr="00833054">
              <w:rPr>
                <w:rFonts w:ascii="Calibri" w:eastAsia="Calibri" w:hAnsi="Calibri"/>
                <w:b/>
                <w:sz w:val="22"/>
                <w:szCs w:val="22"/>
                <w:lang w:eastAsia="en-US"/>
              </w:rPr>
              <w:t>push</w:t>
            </w:r>
            <w:r w:rsidRPr="00833054">
              <w:rPr>
                <w:rFonts w:ascii="Calibri" w:eastAsia="Calibri" w:hAnsi="Calibri"/>
                <w:b/>
                <w:color w:val="FF0000"/>
                <w:sz w:val="22"/>
                <w:szCs w:val="22"/>
                <w:lang w:eastAsia="en-US"/>
              </w:rPr>
              <w:t xml:space="preserve"> RED </w:t>
            </w:r>
            <w:r w:rsidRPr="00833054">
              <w:rPr>
                <w:rFonts w:ascii="Calibri" w:eastAsia="Calibri" w:hAnsi="Calibri"/>
                <w:b/>
                <w:sz w:val="22"/>
                <w:szCs w:val="22"/>
                <w:lang w:eastAsia="en-US"/>
              </w:rPr>
              <w:t>button on</w:t>
            </w:r>
          </w:p>
          <w:p w14:paraId="65C8D4D1" w14:textId="77777777" w:rsidR="00743973" w:rsidRPr="00833054" w:rsidRDefault="00743973" w:rsidP="00586837">
            <w:pPr>
              <w:spacing w:before="0" w:after="0" w:line="240" w:lineRule="auto"/>
              <w:jc w:val="center"/>
              <w:rPr>
                <w:rFonts w:ascii="Calibri" w:eastAsia="Calibri" w:hAnsi="Calibri"/>
                <w:sz w:val="22"/>
                <w:szCs w:val="22"/>
                <w:lang w:eastAsia="en-US"/>
              </w:rPr>
            </w:pPr>
            <w:r w:rsidRPr="00833054">
              <w:rPr>
                <w:rFonts w:ascii="Calibri" w:eastAsia="Calibri" w:hAnsi="Calibri"/>
                <w:sz w:val="22"/>
                <w:szCs w:val="22"/>
                <w:lang w:eastAsia="en-US"/>
              </w:rPr>
              <w:t xml:space="preserve">Campus </w:t>
            </w:r>
            <w:r w:rsidRPr="00833054">
              <w:rPr>
                <w:rFonts w:ascii="Calibri" w:eastAsia="Calibri" w:hAnsi="Calibri"/>
                <w:b/>
                <w:color w:val="365F91"/>
                <w:sz w:val="22"/>
                <w:szCs w:val="22"/>
                <w:lang w:eastAsia="en-US"/>
              </w:rPr>
              <w:t>Blue</w:t>
            </w:r>
            <w:r w:rsidRPr="00833054">
              <w:rPr>
                <w:rFonts w:ascii="Calibri" w:eastAsia="Calibri" w:hAnsi="Calibri"/>
                <w:sz w:val="22"/>
                <w:szCs w:val="22"/>
                <w:lang w:eastAsia="en-US"/>
              </w:rPr>
              <w:t xml:space="preserve"> </w:t>
            </w:r>
            <w:r w:rsidRPr="00833054">
              <w:rPr>
                <w:rFonts w:ascii="Calibri" w:eastAsia="Calibri" w:hAnsi="Calibri"/>
                <w:b/>
                <w:color w:val="365F91"/>
                <w:sz w:val="22"/>
                <w:szCs w:val="22"/>
                <w:lang w:eastAsia="en-US"/>
              </w:rPr>
              <w:t>Light</w:t>
            </w:r>
            <w:r w:rsidRPr="00833054">
              <w:rPr>
                <w:rFonts w:ascii="Calibri" w:eastAsia="Calibri" w:hAnsi="Calibri"/>
                <w:sz w:val="22"/>
                <w:szCs w:val="22"/>
                <w:lang w:eastAsia="en-US"/>
              </w:rPr>
              <w:t xml:space="preserve"> Emergency Phones </w:t>
            </w:r>
          </w:p>
          <w:p w14:paraId="6499415F" w14:textId="77777777" w:rsidR="00743973" w:rsidRPr="00833054" w:rsidRDefault="00743973" w:rsidP="00586837">
            <w:pPr>
              <w:spacing w:before="0" w:after="0" w:line="240" w:lineRule="auto"/>
              <w:jc w:val="center"/>
              <w:rPr>
                <w:rFonts w:ascii="Calibri" w:eastAsia="Calibri" w:hAnsi="Calibri"/>
                <w:sz w:val="52"/>
                <w:szCs w:val="52"/>
                <w:lang w:eastAsia="en-US"/>
              </w:rPr>
            </w:pPr>
          </w:p>
          <w:p w14:paraId="666DC57B" w14:textId="77777777" w:rsidR="00743973" w:rsidRPr="00B63830" w:rsidRDefault="00743973" w:rsidP="00586837">
            <w:pPr>
              <w:spacing w:before="0" w:after="0" w:line="240" w:lineRule="auto"/>
              <w:jc w:val="center"/>
              <w:rPr>
                <w:rFonts w:ascii="Calibri" w:eastAsia="Calibri" w:hAnsi="Calibri"/>
                <w:color w:val="FF0000"/>
                <w:sz w:val="12"/>
                <w:szCs w:val="12"/>
                <w:lang w:eastAsia="en-US"/>
              </w:rPr>
            </w:pPr>
            <w:r w:rsidRPr="00B63830">
              <w:rPr>
                <w:rFonts w:ascii="Calibri" w:eastAsia="Calibri" w:hAnsi="Calibri"/>
                <w:b/>
                <w:sz w:val="24"/>
                <w:szCs w:val="24"/>
                <w:lang w:eastAsia="en-US"/>
              </w:rPr>
              <w:t>856-681-6287</w:t>
            </w:r>
          </w:p>
        </w:tc>
      </w:tr>
      <w:tr w:rsidR="00743973" w:rsidRPr="00B63830" w14:paraId="2F73CA03"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1015EA15" w14:textId="77777777" w:rsidR="00743973" w:rsidRPr="00B63830" w:rsidRDefault="00743973"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Non-Confidential</w:t>
            </w:r>
            <w:r w:rsidRPr="00B63830">
              <w:rPr>
                <w:rFonts w:ascii="Calibri" w:eastAsia="Calibri" w:hAnsi="Calibri"/>
                <w:szCs w:val="20"/>
                <w:lang w:eastAsia="en-US"/>
              </w:rPr>
              <w:t xml:space="preserve"> On-Campus </w:t>
            </w:r>
          </w:p>
          <w:p w14:paraId="33C1DD6E" w14:textId="77777777" w:rsidR="00743973" w:rsidRPr="00B63830" w:rsidRDefault="0074397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Reporting </w:t>
            </w:r>
          </w:p>
          <w:p w14:paraId="2F588879" w14:textId="77777777" w:rsidR="00743973" w:rsidRPr="00B63830" w:rsidRDefault="0074397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727856AE" w14:textId="77777777" w:rsidR="00743973" w:rsidRPr="00B63830" w:rsidRDefault="00743973" w:rsidP="00586837">
            <w:pPr>
              <w:spacing w:before="0" w:after="0" w:line="240" w:lineRule="auto"/>
              <w:jc w:val="center"/>
              <w:rPr>
                <w:rFonts w:ascii="Calibri" w:eastAsia="Calibri" w:hAnsi="Calibri"/>
                <w:sz w:val="24"/>
                <w:szCs w:val="24"/>
                <w:lang w:eastAsia="en-US"/>
              </w:rPr>
            </w:pPr>
            <w:proofErr w:type="spellStart"/>
            <w:r w:rsidRPr="00B63830">
              <w:rPr>
                <w:rFonts w:ascii="Calibri" w:eastAsia="Calibri" w:hAnsi="Calibri"/>
                <w:sz w:val="24"/>
                <w:szCs w:val="24"/>
                <w:lang w:eastAsia="en-US"/>
              </w:rPr>
              <w:t>Almarie</w:t>
            </w:r>
            <w:proofErr w:type="spellEnd"/>
            <w:r w:rsidRPr="00B63830">
              <w:rPr>
                <w:rFonts w:ascii="Calibri" w:eastAsia="Calibri" w:hAnsi="Calibri"/>
                <w:sz w:val="24"/>
                <w:szCs w:val="24"/>
                <w:lang w:eastAsia="en-US"/>
              </w:rPr>
              <w:t xml:space="preserve"> J. Jones</w:t>
            </w:r>
          </w:p>
          <w:p w14:paraId="0DA2516B" w14:textId="77777777" w:rsidR="00743973" w:rsidRPr="00B63830" w:rsidRDefault="0074397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Special Assistant to the President</w:t>
            </w:r>
          </w:p>
          <w:p w14:paraId="271A2142" w14:textId="77777777" w:rsidR="00743973" w:rsidRDefault="00743973"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 xml:space="preserve"> </w:t>
            </w:r>
            <w:r w:rsidRPr="00B63830">
              <w:rPr>
                <w:rFonts w:ascii="Calibri" w:eastAsia="Calibri" w:hAnsi="Calibri"/>
                <w:b/>
                <w:sz w:val="18"/>
                <w:lang w:eastAsia="en-US"/>
              </w:rPr>
              <w:t>Diversity and Equity/Title IX and Compliance</w:t>
            </w:r>
          </w:p>
          <w:p w14:paraId="307A9AF9" w14:textId="77777777" w:rsidR="00743973" w:rsidRPr="00B63830" w:rsidRDefault="00743973" w:rsidP="00586837">
            <w:pPr>
              <w:spacing w:before="0" w:after="0" w:line="240" w:lineRule="auto"/>
              <w:jc w:val="center"/>
              <w:rPr>
                <w:rFonts w:ascii="Calibri" w:eastAsia="Calibri" w:hAnsi="Calibri"/>
                <w:b/>
                <w:sz w:val="18"/>
                <w:lang w:eastAsia="en-US"/>
              </w:rPr>
            </w:pPr>
          </w:p>
          <w:p w14:paraId="6A980C8F" w14:textId="77777777" w:rsidR="00743973" w:rsidRPr="00B63830" w:rsidRDefault="00743973"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John F. Ryder</w:t>
            </w:r>
          </w:p>
          <w:p w14:paraId="6626BC70" w14:textId="77777777" w:rsidR="00743973" w:rsidRPr="00B63830" w:rsidRDefault="0074397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w:t>
            </w:r>
          </w:p>
          <w:p w14:paraId="77180381" w14:textId="77777777" w:rsidR="00743973" w:rsidRPr="00B63830" w:rsidRDefault="00743973"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6F4B5E80" w14:textId="77777777" w:rsidR="00743973" w:rsidRPr="00B63830" w:rsidRDefault="00743973"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856-415-2154</w:t>
            </w:r>
          </w:p>
          <w:p w14:paraId="39755168" w14:textId="77777777" w:rsidR="00743973" w:rsidRPr="00B63830" w:rsidRDefault="0074397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116</w:t>
            </w:r>
          </w:p>
          <w:p w14:paraId="64C0D4D3" w14:textId="77777777" w:rsidR="00743973" w:rsidRDefault="00743973" w:rsidP="00586837">
            <w:pPr>
              <w:spacing w:before="0" w:after="0" w:line="240" w:lineRule="auto"/>
              <w:jc w:val="center"/>
              <w:rPr>
                <w:rFonts w:ascii="Calibri" w:eastAsia="Calibri" w:hAnsi="Calibri"/>
                <w:b/>
                <w:szCs w:val="20"/>
                <w:lang w:eastAsia="en-US"/>
              </w:rPr>
            </w:pPr>
            <w:hyperlink r:id="rId18" w:history="1">
              <w:r w:rsidRPr="00B63830">
                <w:rPr>
                  <w:rFonts w:ascii="Calibri" w:eastAsia="Calibri" w:hAnsi="Calibri"/>
                  <w:b/>
                  <w:szCs w:val="20"/>
                  <w:lang w:eastAsia="en-US"/>
                </w:rPr>
                <w:t>ajones@rcsj.edu</w:t>
              </w:r>
            </w:hyperlink>
          </w:p>
          <w:p w14:paraId="54B19EE2" w14:textId="77777777" w:rsidR="00743973" w:rsidRPr="00B63830" w:rsidRDefault="00743973" w:rsidP="00586837">
            <w:pPr>
              <w:spacing w:before="0" w:after="0" w:line="240" w:lineRule="auto"/>
              <w:jc w:val="center"/>
              <w:rPr>
                <w:rFonts w:ascii="Calibri" w:eastAsia="Calibri" w:hAnsi="Calibri"/>
                <w:szCs w:val="20"/>
                <w:lang w:eastAsia="en-US"/>
              </w:rPr>
            </w:pPr>
          </w:p>
          <w:p w14:paraId="3D292416" w14:textId="77777777" w:rsidR="00743973" w:rsidRPr="00B63830" w:rsidRDefault="00743973"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856-468-5000, ext. 6456</w:t>
            </w:r>
          </w:p>
          <w:p w14:paraId="6E5A2D9E" w14:textId="77777777" w:rsidR="00743973" w:rsidRPr="00B63830" w:rsidRDefault="0074397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202</w:t>
            </w:r>
          </w:p>
          <w:p w14:paraId="1494E722" w14:textId="77777777" w:rsidR="00743973" w:rsidRPr="00B63830" w:rsidRDefault="00743973" w:rsidP="00586837">
            <w:pPr>
              <w:spacing w:before="0" w:after="0" w:line="240" w:lineRule="auto"/>
              <w:jc w:val="center"/>
              <w:rPr>
                <w:rFonts w:ascii="Calibri" w:eastAsia="Calibri" w:hAnsi="Calibri"/>
                <w:szCs w:val="20"/>
                <w:lang w:eastAsia="en-US"/>
              </w:rPr>
            </w:pPr>
            <w:hyperlink r:id="rId19" w:history="1">
              <w:r w:rsidRPr="00B63830">
                <w:rPr>
                  <w:rFonts w:ascii="Calibri" w:eastAsia="Calibri" w:hAnsi="Calibri"/>
                  <w:b/>
                  <w:szCs w:val="20"/>
                  <w:lang w:eastAsia="en-US"/>
                </w:rPr>
                <w:t>jryder@rcsj.edu</w:t>
              </w:r>
            </w:hyperlink>
          </w:p>
        </w:tc>
      </w:tr>
      <w:tr w:rsidR="00743973" w:rsidRPr="00B63830" w14:paraId="0C297DA9" w14:textId="77777777" w:rsidTr="00586837">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08199395" w14:textId="77777777" w:rsidR="00743973" w:rsidRPr="00B63830" w:rsidRDefault="0074397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Confidential </w:t>
            </w:r>
          </w:p>
          <w:p w14:paraId="583F8156" w14:textId="77777777" w:rsidR="00743973" w:rsidRPr="00B63830" w:rsidRDefault="0074397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On-Campus</w:t>
            </w:r>
          </w:p>
          <w:p w14:paraId="1751A1A7" w14:textId="77777777" w:rsidR="00743973" w:rsidRPr="00B63830" w:rsidRDefault="0074397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Counseling and </w:t>
            </w:r>
          </w:p>
          <w:p w14:paraId="31B33C3D" w14:textId="77777777" w:rsidR="00743973" w:rsidRPr="00B63830" w:rsidRDefault="0074397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441ACF52" w14:textId="77777777" w:rsidR="00743973" w:rsidRPr="00B63830" w:rsidRDefault="0074397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Lois Y. Lawson-</w:t>
            </w:r>
            <w:proofErr w:type="spellStart"/>
            <w:r w:rsidRPr="00B63830">
              <w:rPr>
                <w:rFonts w:ascii="Calibri" w:eastAsia="Calibri" w:hAnsi="Calibri"/>
                <w:szCs w:val="20"/>
                <w:lang w:eastAsia="en-US"/>
              </w:rPr>
              <w:t>Briddell</w:t>
            </w:r>
            <w:proofErr w:type="spellEnd"/>
            <w:r w:rsidRPr="00B63830">
              <w:rPr>
                <w:rFonts w:ascii="Calibri" w:eastAsia="Calibri" w:hAnsi="Calibri"/>
                <w:szCs w:val="20"/>
                <w:lang w:eastAsia="en-US"/>
              </w:rPr>
              <w:t>, Ph.D.</w:t>
            </w:r>
          </w:p>
          <w:p w14:paraId="53904A7D" w14:textId="77777777" w:rsidR="00743973" w:rsidRPr="00B63830" w:rsidRDefault="0074397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MSW, LSW, Director</w:t>
            </w:r>
          </w:p>
          <w:p w14:paraId="6186851C" w14:textId="77777777" w:rsidR="00743973" w:rsidRPr="00B63830" w:rsidRDefault="00743973" w:rsidP="00586837">
            <w:pPr>
              <w:spacing w:before="0" w:after="0" w:line="240" w:lineRule="auto"/>
              <w:jc w:val="center"/>
              <w:rPr>
                <w:rFonts w:ascii="Calibri" w:eastAsia="Calibri" w:hAnsi="Calibri"/>
                <w:sz w:val="8"/>
                <w:szCs w:val="8"/>
                <w:lang w:eastAsia="en-US"/>
              </w:rPr>
            </w:pPr>
          </w:p>
          <w:p w14:paraId="00AD6C00" w14:textId="77777777" w:rsidR="00743973" w:rsidRPr="00B63830" w:rsidRDefault="0074397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William Leonard, Ph.D.</w:t>
            </w:r>
          </w:p>
          <w:p w14:paraId="1814F3E6" w14:textId="77777777" w:rsidR="00743973" w:rsidRPr="00B63830" w:rsidRDefault="0074397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Intervention Teams Consultant</w:t>
            </w:r>
          </w:p>
          <w:p w14:paraId="76DD855C" w14:textId="77777777" w:rsidR="00743973" w:rsidRDefault="0074397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Counseling &amp; Wellness Services Center</w:t>
            </w:r>
          </w:p>
          <w:p w14:paraId="2B5218B7" w14:textId="77777777" w:rsidR="00743973" w:rsidRDefault="00743973" w:rsidP="00586837">
            <w:pPr>
              <w:spacing w:before="0" w:after="0" w:line="240" w:lineRule="auto"/>
              <w:jc w:val="center"/>
              <w:rPr>
                <w:rFonts w:ascii="Calibri" w:eastAsia="Calibri" w:hAnsi="Calibri"/>
                <w:b/>
                <w:szCs w:val="20"/>
                <w:lang w:eastAsia="en-US"/>
              </w:rPr>
            </w:pPr>
          </w:p>
          <w:p w14:paraId="078AF123" w14:textId="77777777" w:rsidR="00743973" w:rsidRPr="00B63830" w:rsidRDefault="00743973" w:rsidP="00586837">
            <w:pPr>
              <w:spacing w:before="0" w:after="0" w:line="240" w:lineRule="auto"/>
              <w:jc w:val="center"/>
              <w:rPr>
                <w:rFonts w:ascii="Calibri" w:eastAsia="Calibri" w:hAnsi="Calibri"/>
                <w:b/>
                <w:szCs w:val="20"/>
                <w:lang w:eastAsia="en-US"/>
              </w:rPr>
            </w:pPr>
          </w:p>
          <w:p w14:paraId="78517838" w14:textId="77777777" w:rsidR="00743973" w:rsidRPr="00B63830" w:rsidRDefault="0074397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Crystal </w:t>
            </w:r>
            <w:proofErr w:type="spellStart"/>
            <w:r w:rsidRPr="00B63830">
              <w:rPr>
                <w:rFonts w:ascii="Calibri" w:eastAsia="Calibri" w:hAnsi="Calibri"/>
                <w:szCs w:val="20"/>
                <w:lang w:eastAsia="en-US"/>
              </w:rPr>
              <w:t>Noboa</w:t>
            </w:r>
            <w:proofErr w:type="spellEnd"/>
            <w:r w:rsidRPr="00B63830">
              <w:rPr>
                <w:rFonts w:ascii="Calibri" w:eastAsia="Calibri" w:hAnsi="Calibri"/>
                <w:szCs w:val="20"/>
                <w:lang w:eastAsia="en-US"/>
              </w:rPr>
              <w:t xml:space="preserve">, LSW, MSW  </w:t>
            </w:r>
          </w:p>
          <w:p w14:paraId="687DF87F" w14:textId="77777777" w:rsidR="00743973" w:rsidRPr="00B63830" w:rsidRDefault="0074397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 The Center for</w:t>
            </w:r>
          </w:p>
          <w:p w14:paraId="43B31F97" w14:textId="77777777" w:rsidR="00743973" w:rsidRDefault="0074397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People in Transition (PIT)</w:t>
            </w:r>
          </w:p>
          <w:p w14:paraId="49CFBC92" w14:textId="77777777" w:rsidR="00743973" w:rsidRDefault="00743973" w:rsidP="00586837">
            <w:pPr>
              <w:spacing w:before="0" w:after="0" w:line="240" w:lineRule="auto"/>
              <w:jc w:val="center"/>
              <w:rPr>
                <w:rFonts w:ascii="Calibri" w:eastAsia="Calibri" w:hAnsi="Calibri"/>
                <w:b/>
                <w:szCs w:val="20"/>
                <w:lang w:eastAsia="en-US"/>
              </w:rPr>
            </w:pPr>
          </w:p>
          <w:p w14:paraId="41820947" w14:textId="77777777" w:rsidR="00743973" w:rsidRPr="00B63830" w:rsidRDefault="00743973" w:rsidP="00586837">
            <w:pPr>
              <w:spacing w:before="0" w:after="0" w:line="240" w:lineRule="auto"/>
              <w:jc w:val="center"/>
              <w:rPr>
                <w:rFonts w:ascii="Calibri" w:eastAsia="Calibri" w:hAnsi="Calibri"/>
                <w:b/>
                <w:sz w:val="10"/>
                <w:szCs w:val="10"/>
                <w:lang w:eastAsia="en-US"/>
              </w:rPr>
            </w:pPr>
          </w:p>
          <w:p w14:paraId="34AAB346" w14:textId="77777777" w:rsidR="00743973" w:rsidRPr="00B63830" w:rsidRDefault="0074397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Diane </w:t>
            </w:r>
            <w:proofErr w:type="spellStart"/>
            <w:r w:rsidRPr="00B63830">
              <w:rPr>
                <w:rFonts w:ascii="Calibri" w:eastAsia="Calibri" w:hAnsi="Calibri"/>
                <w:szCs w:val="20"/>
                <w:lang w:eastAsia="en-US"/>
              </w:rPr>
              <w:t>Mussoline</w:t>
            </w:r>
            <w:proofErr w:type="spellEnd"/>
            <w:r w:rsidRPr="00B63830">
              <w:rPr>
                <w:rFonts w:ascii="Calibri" w:eastAsia="Calibri" w:hAnsi="Calibri"/>
                <w:szCs w:val="20"/>
                <w:lang w:eastAsia="en-US"/>
              </w:rPr>
              <w:t xml:space="preserve">, </w:t>
            </w:r>
            <w:proofErr w:type="spellStart"/>
            <w:r w:rsidRPr="00B63830">
              <w:rPr>
                <w:rFonts w:ascii="Calibri" w:eastAsia="Calibri" w:hAnsi="Calibri"/>
                <w:szCs w:val="20"/>
                <w:lang w:eastAsia="en-US"/>
              </w:rPr>
              <w:t>EdS</w:t>
            </w:r>
            <w:proofErr w:type="spellEnd"/>
            <w:r w:rsidRPr="00B63830">
              <w:rPr>
                <w:rFonts w:ascii="Calibri" w:eastAsia="Calibri" w:hAnsi="Calibri"/>
                <w:szCs w:val="20"/>
                <w:lang w:eastAsia="en-US"/>
              </w:rPr>
              <w:t>, LMFT</w:t>
            </w:r>
          </w:p>
          <w:p w14:paraId="13AC4D0A" w14:textId="77777777" w:rsidR="00743973" w:rsidRPr="00B63830" w:rsidRDefault="00743973" w:rsidP="00586837">
            <w:pPr>
              <w:spacing w:before="0" w:after="0" w:line="240" w:lineRule="auto"/>
              <w:jc w:val="center"/>
              <w:rPr>
                <w:rFonts w:ascii="Calibri" w:eastAsia="Calibri" w:hAnsi="Calibri"/>
                <w:sz w:val="6"/>
                <w:szCs w:val="6"/>
                <w:lang w:eastAsia="en-US"/>
              </w:rPr>
            </w:pPr>
            <w:r w:rsidRPr="00B63830">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54142C7B" w14:textId="77777777" w:rsidR="00743973" w:rsidRPr="00B63830" w:rsidRDefault="00743973" w:rsidP="00586837">
            <w:pPr>
              <w:spacing w:before="0" w:after="0" w:line="240" w:lineRule="auto"/>
              <w:jc w:val="center"/>
              <w:rPr>
                <w:rFonts w:ascii="Calibri" w:eastAsia="Calibri" w:hAnsi="Calibri"/>
                <w:b/>
                <w:sz w:val="18"/>
                <w:u w:val="single"/>
                <w:lang w:eastAsia="en-US"/>
              </w:rPr>
            </w:pPr>
            <w:r w:rsidRPr="00B63830">
              <w:rPr>
                <w:rFonts w:ascii="Calibri" w:eastAsia="Calibri" w:hAnsi="Calibri"/>
                <w:b/>
                <w:sz w:val="24"/>
                <w:szCs w:val="24"/>
                <w:lang w:eastAsia="en-US"/>
              </w:rPr>
              <w:t>856-464-5236</w:t>
            </w:r>
            <w:r>
              <w:rPr>
                <w:rFonts w:ascii="Calibri" w:eastAsia="Calibri" w:hAnsi="Calibri"/>
                <w:b/>
                <w:sz w:val="24"/>
                <w:szCs w:val="24"/>
                <w:lang w:eastAsia="en-US"/>
              </w:rPr>
              <w:tab/>
            </w:r>
            <w:hyperlink r:id="rId20" w:history="1">
              <w:r w:rsidRPr="00B63830">
                <w:rPr>
                  <w:rFonts w:ascii="Calibri" w:eastAsia="Calibri" w:hAnsi="Calibri"/>
                  <w:b/>
                  <w:szCs w:val="20"/>
                  <w:lang w:eastAsia="en-US"/>
                </w:rPr>
                <w:t>lbriddell@rcsj.edu</w:t>
              </w:r>
            </w:hyperlink>
          </w:p>
          <w:p w14:paraId="24FB5F33" w14:textId="77777777" w:rsidR="00743973" w:rsidRPr="00B63830" w:rsidRDefault="0074397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206</w:t>
            </w:r>
          </w:p>
          <w:p w14:paraId="5A7FEC4F" w14:textId="77777777" w:rsidR="00743973" w:rsidRPr="00B63830" w:rsidRDefault="00743973" w:rsidP="00586837">
            <w:pPr>
              <w:spacing w:before="0" w:after="0" w:line="240" w:lineRule="auto"/>
              <w:jc w:val="center"/>
              <w:rPr>
                <w:rFonts w:ascii="Calibri" w:eastAsia="Calibri" w:hAnsi="Calibri"/>
                <w:sz w:val="18"/>
                <w:lang w:eastAsia="en-US"/>
              </w:rPr>
            </w:pPr>
          </w:p>
          <w:p w14:paraId="78998928" w14:textId="77777777" w:rsidR="00743973" w:rsidRPr="00B63830" w:rsidRDefault="00743973" w:rsidP="00586837">
            <w:pPr>
              <w:spacing w:before="0" w:after="0" w:line="240" w:lineRule="auto"/>
              <w:jc w:val="center"/>
              <w:rPr>
                <w:rFonts w:ascii="Calibri" w:eastAsia="Calibri" w:hAnsi="Calibri"/>
                <w:b/>
                <w:sz w:val="18"/>
                <w:lang w:eastAsia="en-US"/>
              </w:rPr>
            </w:pPr>
            <w:r w:rsidRPr="00B63830">
              <w:rPr>
                <w:rFonts w:ascii="Calibri" w:eastAsia="Calibri" w:hAnsi="Calibri"/>
                <w:b/>
                <w:sz w:val="24"/>
                <w:szCs w:val="24"/>
                <w:lang w:eastAsia="en-US"/>
              </w:rPr>
              <w:t xml:space="preserve"> 856-415-2119</w:t>
            </w:r>
            <w:r>
              <w:rPr>
                <w:rFonts w:ascii="Calibri" w:eastAsia="Calibri" w:hAnsi="Calibri"/>
                <w:b/>
                <w:sz w:val="24"/>
                <w:szCs w:val="24"/>
                <w:lang w:eastAsia="en-US"/>
              </w:rPr>
              <w:tab/>
            </w:r>
            <w:hyperlink r:id="rId21" w:history="1">
              <w:r w:rsidRPr="00B63830">
                <w:rPr>
                  <w:rFonts w:ascii="Calibri" w:eastAsia="Calibri" w:hAnsi="Calibri"/>
                  <w:b/>
                  <w:szCs w:val="20"/>
                  <w:lang w:eastAsia="en-US"/>
                </w:rPr>
                <w:t>wleonard@rcsj.edu</w:t>
              </w:r>
            </w:hyperlink>
          </w:p>
          <w:p w14:paraId="352FCA67" w14:textId="77777777" w:rsidR="00743973" w:rsidRDefault="0074397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STEM Office C-168</w:t>
            </w:r>
          </w:p>
          <w:p w14:paraId="0574A976" w14:textId="77777777" w:rsidR="00743973" w:rsidRDefault="00743973" w:rsidP="00586837">
            <w:pPr>
              <w:spacing w:before="0" w:after="0" w:line="240" w:lineRule="auto"/>
              <w:jc w:val="center"/>
              <w:rPr>
                <w:rFonts w:ascii="Calibri" w:eastAsia="Calibri" w:hAnsi="Calibri"/>
                <w:b/>
                <w:szCs w:val="20"/>
                <w:lang w:eastAsia="en-US"/>
              </w:rPr>
            </w:pPr>
          </w:p>
          <w:p w14:paraId="6795D7C0" w14:textId="77777777" w:rsidR="00743973" w:rsidRPr="00B63830" w:rsidRDefault="00743973" w:rsidP="00586837">
            <w:pPr>
              <w:spacing w:before="0" w:after="0" w:line="240" w:lineRule="auto"/>
              <w:jc w:val="center"/>
              <w:rPr>
                <w:rFonts w:ascii="Calibri" w:eastAsia="Calibri" w:hAnsi="Calibri"/>
                <w:szCs w:val="20"/>
                <w:lang w:eastAsia="en-US"/>
              </w:rPr>
            </w:pPr>
          </w:p>
          <w:p w14:paraId="7A82D051" w14:textId="77777777" w:rsidR="00743973" w:rsidRPr="00B63830" w:rsidRDefault="00743973"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856-415-2264</w:t>
            </w:r>
            <w:r>
              <w:rPr>
                <w:rFonts w:ascii="Calibri" w:eastAsia="Calibri" w:hAnsi="Calibri"/>
                <w:b/>
                <w:szCs w:val="20"/>
                <w:lang w:eastAsia="en-US"/>
              </w:rPr>
              <w:tab/>
            </w:r>
            <w:r w:rsidRPr="00B63830">
              <w:rPr>
                <w:rFonts w:ascii="Calibri" w:eastAsia="Calibri" w:hAnsi="Calibri"/>
                <w:b/>
                <w:szCs w:val="20"/>
                <w:lang w:eastAsia="en-US"/>
              </w:rPr>
              <w:t>cnoboa@rcsj.edu</w:t>
            </w:r>
          </w:p>
          <w:p w14:paraId="077E9F07" w14:textId="77777777" w:rsidR="00743973" w:rsidRDefault="0074397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(lower mezzanine)</w:t>
            </w:r>
          </w:p>
          <w:p w14:paraId="1FA77CBA" w14:textId="77777777" w:rsidR="00743973" w:rsidRDefault="00743973" w:rsidP="00586837">
            <w:pPr>
              <w:spacing w:before="0" w:after="0" w:line="240" w:lineRule="auto"/>
              <w:jc w:val="center"/>
              <w:rPr>
                <w:rFonts w:ascii="Calibri" w:eastAsia="Calibri" w:hAnsi="Calibri"/>
                <w:b/>
                <w:szCs w:val="20"/>
                <w:lang w:eastAsia="en-US"/>
              </w:rPr>
            </w:pPr>
          </w:p>
          <w:p w14:paraId="7768B359" w14:textId="77777777" w:rsidR="00743973" w:rsidRPr="00B63830" w:rsidRDefault="00743973" w:rsidP="00586837">
            <w:pPr>
              <w:spacing w:before="0" w:after="0" w:line="240" w:lineRule="auto"/>
              <w:jc w:val="center"/>
              <w:rPr>
                <w:rFonts w:ascii="Calibri" w:eastAsia="Calibri" w:hAnsi="Calibri"/>
                <w:b/>
                <w:szCs w:val="20"/>
                <w:lang w:eastAsia="en-US"/>
              </w:rPr>
            </w:pPr>
          </w:p>
          <w:p w14:paraId="06B55DFD" w14:textId="77777777" w:rsidR="00743973" w:rsidRPr="00B63830" w:rsidRDefault="00743973"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856-494-5665</w:t>
            </w:r>
            <w:r>
              <w:rPr>
                <w:rFonts w:ascii="Calibri" w:eastAsia="Calibri" w:hAnsi="Calibri"/>
                <w:b/>
                <w:sz w:val="24"/>
                <w:szCs w:val="24"/>
                <w:lang w:eastAsia="en-US"/>
              </w:rPr>
              <w:tab/>
            </w:r>
            <w:r w:rsidRPr="00B63830">
              <w:rPr>
                <w:rFonts w:ascii="Calibri" w:eastAsia="Calibri" w:hAnsi="Calibri"/>
                <w:b/>
                <w:szCs w:val="20"/>
                <w:lang w:eastAsia="en-US"/>
              </w:rPr>
              <w:t>dmussoli@rcsj.edu</w:t>
            </w:r>
          </w:p>
          <w:p w14:paraId="76E361BD" w14:textId="77777777" w:rsidR="00743973" w:rsidRPr="00B63830" w:rsidRDefault="00743973"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College Center, Room 200A</w:t>
            </w:r>
          </w:p>
        </w:tc>
      </w:tr>
      <w:tr w:rsidR="00743973" w:rsidRPr="00B63830" w14:paraId="2D854533" w14:textId="77777777" w:rsidTr="00586837">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2EC66262" w14:textId="77777777" w:rsidR="00743973" w:rsidRPr="00B63830" w:rsidRDefault="00743973"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Confidential</w:t>
            </w:r>
          </w:p>
          <w:p w14:paraId="0BB926F7" w14:textId="77777777" w:rsidR="00743973" w:rsidRPr="00B63830" w:rsidRDefault="00743973" w:rsidP="00586837">
            <w:pPr>
              <w:spacing w:before="0" w:after="0" w:line="240" w:lineRule="auto"/>
              <w:jc w:val="center"/>
              <w:rPr>
                <w:rFonts w:ascii="Calibri" w:eastAsia="Calibri" w:hAnsi="Calibri"/>
                <w:szCs w:val="20"/>
                <w:u w:val="single"/>
                <w:lang w:eastAsia="en-US"/>
              </w:rPr>
            </w:pPr>
            <w:r w:rsidRPr="00B63830">
              <w:rPr>
                <w:rFonts w:ascii="Calibri" w:eastAsia="Calibri" w:hAnsi="Calibri"/>
                <w:szCs w:val="20"/>
                <w:u w:val="single"/>
                <w:lang w:eastAsia="en-US"/>
              </w:rPr>
              <w:t xml:space="preserve">Non-Campus </w:t>
            </w:r>
          </w:p>
          <w:p w14:paraId="591891A5" w14:textId="77777777" w:rsidR="00743973" w:rsidRPr="00B63830" w:rsidRDefault="00743973"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Full-Service</w:t>
            </w:r>
          </w:p>
          <w:p w14:paraId="1E983E76" w14:textId="77777777" w:rsidR="00743973" w:rsidRPr="00B63830" w:rsidRDefault="00743973" w:rsidP="00586837">
            <w:pPr>
              <w:spacing w:before="0" w:after="0" w:line="240" w:lineRule="auto"/>
              <w:jc w:val="center"/>
              <w:rPr>
                <w:rFonts w:ascii="Calibri" w:eastAsia="Calibri" w:hAnsi="Calibri"/>
                <w:b/>
                <w:szCs w:val="20"/>
                <w:lang w:eastAsia="en-US"/>
              </w:rPr>
            </w:pPr>
            <w:r w:rsidRPr="00B63830">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51A0EE56" w14:textId="77777777" w:rsidR="00743973" w:rsidRPr="00B63830" w:rsidRDefault="00743973"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Center for Family Services</w:t>
            </w:r>
          </w:p>
          <w:p w14:paraId="25E43F4C" w14:textId="77777777" w:rsidR="00743973" w:rsidRPr="00B63830" w:rsidRDefault="00743973"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Services Empowering </w:t>
            </w:r>
          </w:p>
          <w:p w14:paraId="405D0939" w14:textId="77777777" w:rsidR="00743973" w:rsidRPr="00B63830" w:rsidRDefault="00743973" w:rsidP="00586837">
            <w:pPr>
              <w:spacing w:before="0" w:after="0" w:line="240" w:lineRule="auto"/>
              <w:jc w:val="center"/>
              <w:rPr>
                <w:rFonts w:ascii="Calibri" w:eastAsia="Calibri" w:hAnsi="Calibri"/>
                <w:b/>
                <w:sz w:val="16"/>
                <w:szCs w:val="16"/>
                <w:lang w:eastAsia="en-US"/>
              </w:rPr>
            </w:pPr>
            <w:r w:rsidRPr="00B63830">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4C37958A" w14:textId="77777777" w:rsidR="00743973" w:rsidRPr="00B63830" w:rsidRDefault="00743973"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1-866-295-SERV (7378)</w:t>
            </w:r>
          </w:p>
          <w:p w14:paraId="0B70B411" w14:textId="77777777" w:rsidR="00743973" w:rsidRPr="00B63830" w:rsidRDefault="00743973"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Camden and Gloucester counties</w:t>
            </w:r>
          </w:p>
          <w:p w14:paraId="7DB896FC" w14:textId="77777777" w:rsidR="00743973" w:rsidRPr="00B63830" w:rsidRDefault="00743973" w:rsidP="00586837">
            <w:pPr>
              <w:spacing w:before="0" w:after="0" w:line="240" w:lineRule="auto"/>
              <w:jc w:val="center"/>
              <w:rPr>
                <w:rFonts w:ascii="Calibri" w:eastAsia="Calibri" w:hAnsi="Calibri"/>
                <w:b/>
                <w:szCs w:val="20"/>
                <w:lang w:eastAsia="en-US"/>
              </w:rPr>
            </w:pPr>
            <w:hyperlink r:id="rId22" w:history="1">
              <w:r w:rsidRPr="00B63830">
                <w:rPr>
                  <w:rFonts w:ascii="Calibri" w:eastAsia="Calibri" w:hAnsi="Calibri"/>
                  <w:b/>
                  <w:sz w:val="24"/>
                  <w:szCs w:val="24"/>
                  <w:lang w:eastAsia="en-US"/>
                </w:rPr>
                <w:t>centerffs.org/serv</w:t>
              </w:r>
            </w:hyperlink>
          </w:p>
        </w:tc>
      </w:tr>
    </w:tbl>
    <w:p w14:paraId="08681081" w14:textId="48F838AC" w:rsidR="004342B7" w:rsidRPr="00823C95" w:rsidRDefault="004342B7" w:rsidP="00743973">
      <w:pPr>
        <w:pStyle w:val="Heading2"/>
      </w:pPr>
    </w:p>
    <w:sectPr w:rsidR="004342B7" w:rsidRPr="00823C95" w:rsidSect="00F726EF">
      <w:footerReference w:type="default" r:id="rId2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156999FD" w14:textId="4A08F88D" w:rsidR="00C54535" w:rsidRDefault="004A5FD9" w:rsidP="00A128E8">
        <w:pPr>
          <w:pStyle w:val="Footer"/>
          <w:ind w:left="720"/>
          <w:rPr>
            <w:noProof/>
          </w:rPr>
        </w:pPr>
        <w:r>
          <w:fldChar w:fldCharType="begin"/>
        </w:r>
        <w:r>
          <w:instrText xml:space="preserve"> PAGE   \* MERGEFORMAT </w:instrText>
        </w:r>
        <w:r>
          <w:fldChar w:fldCharType="separate"/>
        </w:r>
        <w:r w:rsidR="00CC059F">
          <w:rPr>
            <w:noProof/>
          </w:rPr>
          <w:t>2</w:t>
        </w:r>
        <w:r>
          <w:rPr>
            <w:noProof/>
          </w:rPr>
          <w:fldChar w:fldCharType="end"/>
        </w:r>
        <w:r w:rsidR="00224EC0">
          <w:rPr>
            <w:noProof/>
          </w:rPr>
          <w:t xml:space="preserve"> </w:t>
        </w:r>
        <w:r w:rsidR="00A128E8">
          <w:rPr>
            <w:noProof/>
          </w:rPr>
          <w:tab/>
        </w:r>
        <w:r w:rsidR="00A128E8">
          <w:rPr>
            <w:noProof/>
          </w:rPr>
          <w:tab/>
        </w:r>
        <w:r>
          <w:rPr>
            <w:noProof/>
          </w:rPr>
          <w:t xml:space="preserve">Revised </w:t>
        </w:r>
        <w:r w:rsidR="00C54535">
          <w:rPr>
            <w:noProof/>
          </w:rPr>
          <w:t>Spring 2019</w:t>
        </w:r>
      </w:p>
      <w:p w14:paraId="039B5CB7" w14:textId="38FE78B5" w:rsidR="004A5FD9" w:rsidRDefault="00743973" w:rsidP="00C54535">
        <w:pPr>
          <w:pStyle w:val="Footer"/>
        </w:pP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41938"/>
    <w:multiLevelType w:val="hybridMultilevel"/>
    <w:tmpl w:val="6B66C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76CEC"/>
    <w:multiLevelType w:val="hybridMultilevel"/>
    <w:tmpl w:val="93DAB20A"/>
    <w:lvl w:ilvl="0" w:tplc="04090001">
      <w:start w:val="1"/>
      <w:numFmt w:val="bullet"/>
      <w:lvlText w:val=""/>
      <w:lvlJc w:val="left"/>
      <w:pPr>
        <w:ind w:left="720" w:hanging="360"/>
      </w:pPr>
      <w:rPr>
        <w:rFonts w:ascii="Symbol" w:hAnsi="Symbol" w:hint="default"/>
      </w:rPr>
    </w:lvl>
    <w:lvl w:ilvl="1" w:tplc="C512EBAE">
      <w:numFmt w:val="bullet"/>
      <w:lvlText w:val="-"/>
      <w:lvlJc w:val="left"/>
      <w:pPr>
        <w:ind w:left="1440" w:hanging="360"/>
      </w:pPr>
      <w:rPr>
        <w:rFonts w:ascii="Arial" w:eastAsiaTheme="minorEastAsia"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02239"/>
    <w:multiLevelType w:val="hybridMultilevel"/>
    <w:tmpl w:val="4EEAB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C6116"/>
    <w:multiLevelType w:val="hybridMultilevel"/>
    <w:tmpl w:val="11F2B962"/>
    <w:lvl w:ilvl="0" w:tplc="BD5E7376">
      <w:start w:val="1"/>
      <w:numFmt w:val="decimal"/>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5" w15:restartNumberingAfterBreak="0">
    <w:nsid w:val="14110811"/>
    <w:multiLevelType w:val="hybridMultilevel"/>
    <w:tmpl w:val="2976E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BD70D8"/>
    <w:multiLevelType w:val="hybridMultilevel"/>
    <w:tmpl w:val="C59EF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B13BA"/>
    <w:multiLevelType w:val="hybridMultilevel"/>
    <w:tmpl w:val="138E8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67563"/>
    <w:multiLevelType w:val="hybridMultilevel"/>
    <w:tmpl w:val="6610D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C86325"/>
    <w:multiLevelType w:val="hybridMultilevel"/>
    <w:tmpl w:val="90626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5F67BA"/>
    <w:multiLevelType w:val="hybridMultilevel"/>
    <w:tmpl w:val="1A9C4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C3C07"/>
    <w:multiLevelType w:val="hybridMultilevel"/>
    <w:tmpl w:val="36EA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3C4382"/>
    <w:multiLevelType w:val="hybridMultilevel"/>
    <w:tmpl w:val="0F00C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DD74EA"/>
    <w:multiLevelType w:val="hybridMultilevel"/>
    <w:tmpl w:val="F894E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7"/>
  </w:num>
  <w:num w:numId="4">
    <w:abstractNumId w:val="1"/>
  </w:num>
  <w:num w:numId="5">
    <w:abstractNumId w:val="16"/>
  </w:num>
  <w:num w:numId="6">
    <w:abstractNumId w:val="15"/>
  </w:num>
  <w:num w:numId="7">
    <w:abstractNumId w:val="2"/>
  </w:num>
  <w:num w:numId="8">
    <w:abstractNumId w:val="0"/>
  </w:num>
  <w:num w:numId="9">
    <w:abstractNumId w:val="7"/>
  </w:num>
  <w:num w:numId="10">
    <w:abstractNumId w:val="11"/>
  </w:num>
  <w:num w:numId="11">
    <w:abstractNumId w:val="5"/>
  </w:num>
  <w:num w:numId="12">
    <w:abstractNumId w:val="12"/>
  </w:num>
  <w:num w:numId="13">
    <w:abstractNumId w:val="6"/>
  </w:num>
  <w:num w:numId="14">
    <w:abstractNumId w:val="18"/>
  </w:num>
  <w:num w:numId="15">
    <w:abstractNumId w:val="14"/>
  </w:num>
  <w:num w:numId="16">
    <w:abstractNumId w:val="3"/>
  </w:num>
  <w:num w:numId="17">
    <w:abstractNumId w:val="4"/>
  </w:num>
  <w:num w:numId="18">
    <w:abstractNumId w:val="13"/>
  </w:num>
  <w:num w:numId="1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344C4"/>
    <w:rsid w:val="00063670"/>
    <w:rsid w:val="00075963"/>
    <w:rsid w:val="000A3ADD"/>
    <w:rsid w:val="000B012C"/>
    <w:rsid w:val="000B1097"/>
    <w:rsid w:val="000B21A1"/>
    <w:rsid w:val="000C2ACE"/>
    <w:rsid w:val="000C2C37"/>
    <w:rsid w:val="000C42C9"/>
    <w:rsid w:val="000D44AE"/>
    <w:rsid w:val="000E0A74"/>
    <w:rsid w:val="000E6E52"/>
    <w:rsid w:val="000F5F15"/>
    <w:rsid w:val="00137AB0"/>
    <w:rsid w:val="001616EB"/>
    <w:rsid w:val="00176D7E"/>
    <w:rsid w:val="001815F8"/>
    <w:rsid w:val="001A18DC"/>
    <w:rsid w:val="001A520A"/>
    <w:rsid w:val="001B7469"/>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F4B"/>
    <w:rsid w:val="002D4333"/>
    <w:rsid w:val="0030423A"/>
    <w:rsid w:val="003073B1"/>
    <w:rsid w:val="0032545D"/>
    <w:rsid w:val="00325A11"/>
    <w:rsid w:val="003530A2"/>
    <w:rsid w:val="003772F0"/>
    <w:rsid w:val="003805CC"/>
    <w:rsid w:val="00382803"/>
    <w:rsid w:val="003964F4"/>
    <w:rsid w:val="003B0D0D"/>
    <w:rsid w:val="003B417B"/>
    <w:rsid w:val="003C1974"/>
    <w:rsid w:val="003D0E56"/>
    <w:rsid w:val="003D5014"/>
    <w:rsid w:val="003E3D4C"/>
    <w:rsid w:val="00403B34"/>
    <w:rsid w:val="004342B7"/>
    <w:rsid w:val="00434533"/>
    <w:rsid w:val="00442E18"/>
    <w:rsid w:val="00450454"/>
    <w:rsid w:val="00453190"/>
    <w:rsid w:val="00455DE5"/>
    <w:rsid w:val="0046076B"/>
    <w:rsid w:val="00466CC2"/>
    <w:rsid w:val="00467C0E"/>
    <w:rsid w:val="00474345"/>
    <w:rsid w:val="0048103F"/>
    <w:rsid w:val="00481352"/>
    <w:rsid w:val="00495985"/>
    <w:rsid w:val="00497AC4"/>
    <w:rsid w:val="004A5FD9"/>
    <w:rsid w:val="004B18D3"/>
    <w:rsid w:val="004B2C4B"/>
    <w:rsid w:val="004B47D4"/>
    <w:rsid w:val="004B5EC2"/>
    <w:rsid w:val="004C5523"/>
    <w:rsid w:val="004D0797"/>
    <w:rsid w:val="004D5D27"/>
    <w:rsid w:val="00504E56"/>
    <w:rsid w:val="00516992"/>
    <w:rsid w:val="005307DD"/>
    <w:rsid w:val="0053448A"/>
    <w:rsid w:val="00547964"/>
    <w:rsid w:val="0055446F"/>
    <w:rsid w:val="00560F2F"/>
    <w:rsid w:val="005635B5"/>
    <w:rsid w:val="00586DDC"/>
    <w:rsid w:val="00590575"/>
    <w:rsid w:val="005B36B7"/>
    <w:rsid w:val="005B4347"/>
    <w:rsid w:val="005E4D63"/>
    <w:rsid w:val="005F0CC9"/>
    <w:rsid w:val="005F4CE3"/>
    <w:rsid w:val="00601915"/>
    <w:rsid w:val="00611B23"/>
    <w:rsid w:val="00611EF4"/>
    <w:rsid w:val="00620104"/>
    <w:rsid w:val="00626AFF"/>
    <w:rsid w:val="00657889"/>
    <w:rsid w:val="00660F12"/>
    <w:rsid w:val="00663B6D"/>
    <w:rsid w:val="00665132"/>
    <w:rsid w:val="0067023B"/>
    <w:rsid w:val="00683258"/>
    <w:rsid w:val="006A1611"/>
    <w:rsid w:val="006A6789"/>
    <w:rsid w:val="006B1781"/>
    <w:rsid w:val="006F0F6C"/>
    <w:rsid w:val="006F32CC"/>
    <w:rsid w:val="0071500D"/>
    <w:rsid w:val="00721849"/>
    <w:rsid w:val="00743973"/>
    <w:rsid w:val="007537F7"/>
    <w:rsid w:val="007565D7"/>
    <w:rsid w:val="00782FA4"/>
    <w:rsid w:val="00795122"/>
    <w:rsid w:val="007B1D0A"/>
    <w:rsid w:val="007F1AE2"/>
    <w:rsid w:val="00805704"/>
    <w:rsid w:val="00807BE4"/>
    <w:rsid w:val="0081329D"/>
    <w:rsid w:val="008169E5"/>
    <w:rsid w:val="00823C95"/>
    <w:rsid w:val="00841C7F"/>
    <w:rsid w:val="00874C45"/>
    <w:rsid w:val="00890745"/>
    <w:rsid w:val="00895A34"/>
    <w:rsid w:val="00897D89"/>
    <w:rsid w:val="008A705F"/>
    <w:rsid w:val="008B25A6"/>
    <w:rsid w:val="008C16B8"/>
    <w:rsid w:val="008F2CCC"/>
    <w:rsid w:val="00900174"/>
    <w:rsid w:val="00902B5A"/>
    <w:rsid w:val="00913577"/>
    <w:rsid w:val="009175E5"/>
    <w:rsid w:val="00934137"/>
    <w:rsid w:val="00945C47"/>
    <w:rsid w:val="00953537"/>
    <w:rsid w:val="00960DC0"/>
    <w:rsid w:val="00974EBB"/>
    <w:rsid w:val="0097588F"/>
    <w:rsid w:val="00976284"/>
    <w:rsid w:val="00983EBB"/>
    <w:rsid w:val="009A1AE0"/>
    <w:rsid w:val="009B06B4"/>
    <w:rsid w:val="009C0D78"/>
    <w:rsid w:val="009D54C6"/>
    <w:rsid w:val="009F4DC4"/>
    <w:rsid w:val="009F4ED7"/>
    <w:rsid w:val="00A128E8"/>
    <w:rsid w:val="00A2524D"/>
    <w:rsid w:val="00A37869"/>
    <w:rsid w:val="00A44840"/>
    <w:rsid w:val="00A524A8"/>
    <w:rsid w:val="00A77EC9"/>
    <w:rsid w:val="00A8191E"/>
    <w:rsid w:val="00A97359"/>
    <w:rsid w:val="00AA3B8F"/>
    <w:rsid w:val="00AE0AE4"/>
    <w:rsid w:val="00B05378"/>
    <w:rsid w:val="00B12BB1"/>
    <w:rsid w:val="00B373CD"/>
    <w:rsid w:val="00B713BA"/>
    <w:rsid w:val="00BA0522"/>
    <w:rsid w:val="00BB032A"/>
    <w:rsid w:val="00BB0649"/>
    <w:rsid w:val="00BB2EDC"/>
    <w:rsid w:val="00BB6C93"/>
    <w:rsid w:val="00BC1866"/>
    <w:rsid w:val="00BC4D23"/>
    <w:rsid w:val="00BD74EA"/>
    <w:rsid w:val="00BE4DD2"/>
    <w:rsid w:val="00BE6528"/>
    <w:rsid w:val="00BE7431"/>
    <w:rsid w:val="00C0600E"/>
    <w:rsid w:val="00C06271"/>
    <w:rsid w:val="00C07BF8"/>
    <w:rsid w:val="00C52CA9"/>
    <w:rsid w:val="00C54535"/>
    <w:rsid w:val="00C604D6"/>
    <w:rsid w:val="00C71163"/>
    <w:rsid w:val="00C82E7D"/>
    <w:rsid w:val="00CA44ED"/>
    <w:rsid w:val="00CB3FD0"/>
    <w:rsid w:val="00CC059F"/>
    <w:rsid w:val="00CC0982"/>
    <w:rsid w:val="00CC4237"/>
    <w:rsid w:val="00CD5ED4"/>
    <w:rsid w:val="00CF368F"/>
    <w:rsid w:val="00CF6999"/>
    <w:rsid w:val="00D12F30"/>
    <w:rsid w:val="00D27763"/>
    <w:rsid w:val="00D53A8A"/>
    <w:rsid w:val="00DB365F"/>
    <w:rsid w:val="00DD3955"/>
    <w:rsid w:val="00DE5B41"/>
    <w:rsid w:val="00E11EA0"/>
    <w:rsid w:val="00E202EA"/>
    <w:rsid w:val="00E33A79"/>
    <w:rsid w:val="00E449A5"/>
    <w:rsid w:val="00E46150"/>
    <w:rsid w:val="00E56F21"/>
    <w:rsid w:val="00E75670"/>
    <w:rsid w:val="00E858C5"/>
    <w:rsid w:val="00E91C69"/>
    <w:rsid w:val="00ED393B"/>
    <w:rsid w:val="00EF44EB"/>
    <w:rsid w:val="00F01B15"/>
    <w:rsid w:val="00F03AD3"/>
    <w:rsid w:val="00F12118"/>
    <w:rsid w:val="00F13AA2"/>
    <w:rsid w:val="00F50745"/>
    <w:rsid w:val="00F60A32"/>
    <w:rsid w:val="00F642A5"/>
    <w:rsid w:val="00F67FBF"/>
    <w:rsid w:val="00F726EF"/>
    <w:rsid w:val="00FB0317"/>
    <w:rsid w:val="00FB1AEA"/>
    <w:rsid w:val="00FC678C"/>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74397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sj.edu/SpecialServices-site/Gloucester-site/Pages/Student-Profile-Form.aspx"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www.rcsj.edu/SpecialServices/gloucester" TargetMode="External"/><Relationship Id="rId17" Type="http://schemas.openxmlformats.org/officeDocument/2006/relationships/hyperlink" Target="https://www.rcsj.edu/SpecialServices-site/Gloucester-site/Pages/Assistive-Technology.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sj.edu/SpecialServices-site/Gloucester-site/Pages/Placement-Testing.aspx" TargetMode="External"/><Relationship Id="rId20" Type="http://schemas.openxmlformats.org/officeDocument/2006/relationships/hyperlink" Target="mailto:lbriddell@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ook@rcsj.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ajones@rcsj.edu" TargetMode="Externa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s://www.rcsj.edu/SpecialServices-site/Gloucester-site/Pages/Special-Educations-Records-Release-Form.aspx"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3D347384-7B07-0844-A3E5-435A0CEBDB24}">
  <ds:schemaRefs>
    <ds:schemaRef ds:uri="http://schemas.openxmlformats.org/officeDocument/2006/bibliography"/>
  </ds:schemaRefs>
</ds:datastoreItem>
</file>

<file path=customXml/itemProps2.xml><?xml version="1.0" encoding="utf-8"?>
<ds:datastoreItem xmlns:ds="http://schemas.openxmlformats.org/officeDocument/2006/customXml" ds:itemID="{3E17F19E-90CE-4F4A-918F-B272258DE9D8}"/>
</file>

<file path=customXml/itemProps3.xml><?xml version="1.0" encoding="utf-8"?>
<ds:datastoreItem xmlns:ds="http://schemas.openxmlformats.org/officeDocument/2006/customXml" ds:itemID="{2FFA6D41-A5A9-4217-81B9-6DBA2F5317E4}"/>
</file>

<file path=customXml/itemProps4.xml><?xml version="1.0" encoding="utf-8"?>
<ds:datastoreItem xmlns:ds="http://schemas.openxmlformats.org/officeDocument/2006/customXml" ds:itemID="{1E28BF54-664F-4DEB-91D2-A23AF8323E38}"/>
</file>

<file path=docProps/app.xml><?xml version="1.0" encoding="utf-8"?>
<Properties xmlns="http://schemas.openxmlformats.org/officeDocument/2006/extended-properties" xmlns:vt="http://schemas.openxmlformats.org/officeDocument/2006/docPropsVTypes">
  <Template>Normal.dotm</Template>
  <TotalTime>45</TotalTime>
  <Pages>12</Pages>
  <Words>3363</Words>
  <Characters>19172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22491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5</cp:revision>
  <cp:lastPrinted>2018-07-16T15:10:00Z</cp:lastPrinted>
  <dcterms:created xsi:type="dcterms:W3CDTF">2019-01-22T20:04:00Z</dcterms:created>
  <dcterms:modified xsi:type="dcterms:W3CDTF">2020-04-28T12:45:00Z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