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5D52BB7D" w:rsidR="001A18DC" w:rsidRPr="00823C95" w:rsidRDefault="00314310" w:rsidP="001A18DC">
      <w:pPr>
        <w:pStyle w:val="Header"/>
        <w:jc w:val="center"/>
        <w:rPr>
          <w:rFonts w:cs="Arial"/>
          <w:szCs w:val="22"/>
        </w:rPr>
      </w:pPr>
      <w:r>
        <w:rPr>
          <w:rFonts w:cs="Arial"/>
          <w:noProof/>
          <w:szCs w:val="22"/>
        </w:rPr>
        <w:drawing>
          <wp:inline distT="0" distB="0" distL="0" distR="0" wp14:anchorId="49EF98D8" wp14:editId="65259C81">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37197B6C" w:rsidR="201BECFA" w:rsidRPr="00823C95" w:rsidRDefault="003152C4" w:rsidP="201BECFA">
      <w:pPr>
        <w:pStyle w:val="Heading1"/>
        <w:jc w:val="left"/>
        <w:rPr>
          <w:rFonts w:cs="Arial"/>
        </w:rPr>
      </w:pPr>
      <w:r>
        <w:rPr>
          <w:rFonts w:cs="Arial"/>
        </w:rPr>
        <w:t>CGA 217</w:t>
      </w:r>
      <w:r w:rsidR="1728BCD8" w:rsidRPr="00823C95">
        <w:rPr>
          <w:rFonts w:cs="Arial"/>
        </w:rPr>
        <w:t xml:space="preserve">: </w:t>
      </w:r>
      <w:r>
        <w:rPr>
          <w:rFonts w:cs="Arial"/>
        </w:rPr>
        <w:t>Electronic Image Processing</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0BE64095" w:rsidR="009E2C2B" w:rsidRDefault="1728BCD8" w:rsidP="00EE4CBF">
      <w:pPr>
        <w:rPr>
          <w:rFonts w:cs="Arial"/>
          <w:i/>
          <w:iCs/>
        </w:rPr>
      </w:pPr>
      <w:r w:rsidRPr="00823C95">
        <w:rPr>
          <w:rFonts w:cs="Arial"/>
          <w:i/>
          <w:iCs/>
        </w:rPr>
        <w:t xml:space="preserve">Prerequisite: </w:t>
      </w:r>
      <w:r w:rsidR="003152C4">
        <w:rPr>
          <w:rFonts w:cs="Arial"/>
          <w:i/>
          <w:iCs/>
        </w:rPr>
        <w:t>CGA 103</w:t>
      </w:r>
      <w:r w:rsidRPr="00823C95">
        <w:rPr>
          <w:rFonts w:cs="Arial"/>
          <w:i/>
          <w:iCs/>
        </w:rPr>
        <w:t xml:space="preserve"> – </w:t>
      </w:r>
      <w:r w:rsidR="003152C4">
        <w:rPr>
          <w:rFonts w:cs="Arial"/>
          <w:i/>
          <w:iCs/>
        </w:rPr>
        <w:t xml:space="preserve">Design, Color and Type &amp; ART 131 </w:t>
      </w:r>
      <w:r w:rsidR="00541700">
        <w:rPr>
          <w:rFonts w:cs="Arial"/>
          <w:i/>
          <w:iCs/>
        </w:rPr>
        <w:t>–</w:t>
      </w:r>
      <w:r w:rsidR="003152C4">
        <w:rPr>
          <w:rFonts w:cs="Arial"/>
          <w:i/>
          <w:iCs/>
        </w:rPr>
        <w:t xml:space="preserve"> </w:t>
      </w:r>
      <w:r w:rsidR="00541700">
        <w:rPr>
          <w:rFonts w:cs="Arial"/>
          <w:i/>
          <w:iCs/>
        </w:rPr>
        <w:t>Introduction to Digital Photography</w:t>
      </w:r>
    </w:p>
    <w:p w14:paraId="33C9F52D" w14:textId="77777777" w:rsidR="00541700" w:rsidRDefault="00541700" w:rsidP="00EE4CBF">
      <w:pPr>
        <w:rPr>
          <w:rFonts w:cs="Arial"/>
        </w:rPr>
      </w:pPr>
      <w:r w:rsidRPr="004C2108">
        <w:rPr>
          <w:rFonts w:cs="Arial"/>
        </w:rPr>
        <w:t>This course introduces the use of image editing software. Students learn how to scan an image using the correct resolution functions, save files to appropriate formats, and retouch and merge photographs. Color correction, organization of images on layers, printing, prepress issues, and color management will be discussed. Creation of images for the web and screen display are discussed. Students will demonstrate a mastery of the use of the basic menus, commands, and tools of the image manipulation software.</w:t>
      </w:r>
    </w:p>
    <w:p w14:paraId="42EC1847" w14:textId="6E1EEF29"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33892B8B"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314310">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4B8C3A4"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314310">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C881C1E" w:rsidR="00976284" w:rsidRPr="00823C95" w:rsidRDefault="00F26E3E" w:rsidP="00976284">
      <w:pPr>
        <w:pStyle w:val="Heading2"/>
      </w:pPr>
      <w:r>
        <w:t>CGA 217</w:t>
      </w:r>
      <w:r w:rsidR="1728BCD8" w:rsidRPr="00823C95">
        <w:t xml:space="preserve"> Core Competencies</w:t>
      </w:r>
    </w:p>
    <w:p w14:paraId="3AB3BC49" w14:textId="601F4C37"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314310">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23900A3D"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67E59775" w14:textId="51FC8216" w:rsidR="00A5693B" w:rsidRPr="00312EAA" w:rsidRDefault="00A5693B" w:rsidP="00D77C3E">
      <w:pPr>
        <w:pStyle w:val="ListParagraph"/>
        <w:numPr>
          <w:ilvl w:val="0"/>
          <w:numId w:val="6"/>
        </w:numPr>
        <w:spacing w:before="0" w:after="160" w:line="259" w:lineRule="auto"/>
        <w:rPr>
          <w:rFonts w:cs="Arial"/>
        </w:rPr>
      </w:pPr>
      <w:r>
        <w:rPr>
          <w:rFonts w:cs="Arial"/>
        </w:rPr>
        <w:t>Information Literacy</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4FB3BA13" w:rsidR="000E0A74" w:rsidRPr="00823C95" w:rsidRDefault="1728BCD8" w:rsidP="000E0A74">
      <w:pPr>
        <w:pStyle w:val="Heading1"/>
        <w:rPr>
          <w:rFonts w:cs="Arial"/>
        </w:rPr>
      </w:pPr>
      <w:r w:rsidRPr="00823C95">
        <w:rPr>
          <w:rFonts w:cs="Arial"/>
        </w:rPr>
        <w:lastRenderedPageBreak/>
        <w:t xml:space="preserve">Student Learning Outcomes: </w:t>
      </w:r>
      <w:r w:rsidR="00541700">
        <w:rPr>
          <w:rFonts w:cs="Arial"/>
        </w:rPr>
        <w:t>Electronic Image Processing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5A338920" w:rsidR="201BECFA" w:rsidRPr="00823C95" w:rsidRDefault="000E0A74" w:rsidP="001D059A">
            <w:pPr>
              <w:pStyle w:val="Heading2"/>
              <w:jc w:val="center"/>
              <w:outlineLvl w:val="1"/>
            </w:pPr>
            <w:r w:rsidRPr="00823C95">
              <w:t xml:space="preserve">Successful completion of </w:t>
            </w:r>
            <w:r w:rsidR="00541700">
              <w:t>CGA 217</w:t>
            </w:r>
            <w:r w:rsidR="00312EAA">
              <w:t xml:space="preserve"> </w:t>
            </w:r>
            <w:r w:rsidRPr="00823C95">
              <w:t>will help students:</w:t>
            </w:r>
            <w:r w:rsidR="1728BCD8" w:rsidRPr="00823C95">
              <w:t xml:space="preserve"> </w:t>
            </w:r>
          </w:p>
        </w:tc>
        <w:tc>
          <w:tcPr>
            <w:tcW w:w="2160" w:type="dxa"/>
          </w:tcPr>
          <w:p w14:paraId="0ADAEF12" w14:textId="5B3ECD57" w:rsidR="005B4347" w:rsidRPr="00823C95" w:rsidRDefault="00314310"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4CCFFBF" w14:textId="77777777" w:rsidR="00541700" w:rsidRPr="004C2108" w:rsidRDefault="00541700" w:rsidP="00541700">
            <w:pPr>
              <w:spacing w:after="0" w:line="240" w:lineRule="auto"/>
              <w:rPr>
                <w:rFonts w:cs="Arial"/>
              </w:rPr>
            </w:pPr>
            <w:r w:rsidRPr="004C2108">
              <w:rPr>
                <w:rFonts w:cs="Arial"/>
              </w:rPr>
              <w:t>To demonstrate a high level of proficiency with a raster drawing program and to be able to electronically manipulate images</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337F3" w14:textId="77777777" w:rsidR="004A5FD9" w:rsidRDefault="0027607B" w:rsidP="00CB3FD0">
            <w:pPr>
              <w:rPr>
                <w:rFonts w:cs="Arial"/>
              </w:rPr>
            </w:pPr>
            <w:r w:rsidRPr="00823C95">
              <w:rPr>
                <w:rFonts w:cs="Arial"/>
              </w:rPr>
              <w:t>Humanistic Perspective</w:t>
            </w:r>
          </w:p>
          <w:p w14:paraId="75E4B526" w14:textId="70C639E5" w:rsidR="00A5693B" w:rsidRPr="00823C95" w:rsidRDefault="00A5693B"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4B80FBDB" w14:textId="77777777" w:rsidR="00541700" w:rsidRPr="004C2108" w:rsidRDefault="00541700" w:rsidP="00541700">
            <w:pPr>
              <w:spacing w:after="0" w:line="240" w:lineRule="auto"/>
              <w:rPr>
                <w:rFonts w:cs="Arial"/>
              </w:rPr>
            </w:pPr>
            <w:r w:rsidRPr="004C2108">
              <w:rPr>
                <w:rFonts w:cs="Arial"/>
              </w:rPr>
              <w:t>To utilize a raster drawing program in the design and creation of artwork for both print and screen design</w:t>
            </w:r>
          </w:p>
          <w:p w14:paraId="311210F3" w14:textId="2331E092" w:rsidR="001D059A" w:rsidRPr="00823C95" w:rsidRDefault="001D059A" w:rsidP="00162EB4">
            <w:pPr>
              <w:spacing w:after="0" w:line="240" w:lineRule="auto"/>
              <w:rPr>
                <w:rFonts w:cs="Arial"/>
              </w:rPr>
            </w:pP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C9C08F4" w14:textId="77777777" w:rsidR="001D059A" w:rsidRDefault="001D059A" w:rsidP="001D059A">
            <w:pPr>
              <w:rPr>
                <w:rFonts w:cs="Arial"/>
              </w:rPr>
            </w:pPr>
            <w:r w:rsidRPr="00823C95">
              <w:rPr>
                <w:rFonts w:cs="Arial"/>
              </w:rPr>
              <w:t>Humanistic Perspective</w:t>
            </w:r>
          </w:p>
          <w:p w14:paraId="1D20F566" w14:textId="2686D783" w:rsidR="00A5693B" w:rsidRPr="00823C95" w:rsidRDefault="00A5693B" w:rsidP="001D059A">
            <w:pPr>
              <w:rPr>
                <w:rFonts w:cs="Arial"/>
              </w:rPr>
            </w:pPr>
            <w:r>
              <w:rPr>
                <w:rFonts w:cs="Arial"/>
              </w:rPr>
              <w:t>Information Literacy</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1D059A" w:rsidRPr="00823C95" w14:paraId="0C0B28A2" w14:textId="77777777" w:rsidTr="1728BCD8">
        <w:trPr>
          <w:trHeight w:val="1178"/>
          <w:tblHeader/>
        </w:trPr>
        <w:tc>
          <w:tcPr>
            <w:tcW w:w="5850" w:type="dxa"/>
          </w:tcPr>
          <w:p w14:paraId="167B116B" w14:textId="77777777" w:rsidR="00541700" w:rsidRPr="004C2108" w:rsidRDefault="00541700" w:rsidP="00541700">
            <w:pPr>
              <w:spacing w:after="0" w:line="240" w:lineRule="auto"/>
              <w:rPr>
                <w:rFonts w:cs="Arial"/>
              </w:rPr>
            </w:pPr>
            <w:r w:rsidRPr="004C2108">
              <w:rPr>
                <w:rFonts w:cs="Arial"/>
              </w:rPr>
              <w:t>To develop an in-depth understanding of a professional raster drawing program, Adobe Photoshop</w:t>
            </w:r>
          </w:p>
          <w:p w14:paraId="3B9526D1" w14:textId="3BFDE65B" w:rsidR="001D059A" w:rsidRPr="00823C95" w:rsidRDefault="001D059A" w:rsidP="001D059A">
            <w:pPr>
              <w:rPr>
                <w:rFonts w:cs="Arial"/>
              </w:rPr>
            </w:pPr>
          </w:p>
        </w:tc>
        <w:tc>
          <w:tcPr>
            <w:tcW w:w="2160" w:type="dxa"/>
          </w:tcPr>
          <w:p w14:paraId="54105371" w14:textId="77777777" w:rsidR="001D059A" w:rsidRPr="00823C95" w:rsidRDefault="001D059A" w:rsidP="001D059A">
            <w:pPr>
              <w:rPr>
                <w:rFonts w:cs="Arial"/>
              </w:rPr>
            </w:pPr>
            <w:r>
              <w:rPr>
                <w:rFonts w:cs="Arial"/>
              </w:rPr>
              <w:t>Technological Competency</w:t>
            </w:r>
            <w:r w:rsidRPr="00823C95">
              <w:rPr>
                <w:rFonts w:cs="Arial"/>
              </w:rPr>
              <w:t xml:space="preserve"> </w:t>
            </w:r>
          </w:p>
          <w:p w14:paraId="5740DE00" w14:textId="77777777" w:rsidR="001D059A" w:rsidRDefault="001D059A" w:rsidP="001D059A">
            <w:pPr>
              <w:rPr>
                <w:rFonts w:cs="Arial"/>
              </w:rPr>
            </w:pPr>
            <w:r w:rsidRPr="00823C95">
              <w:rPr>
                <w:rFonts w:cs="Arial"/>
              </w:rPr>
              <w:t>Humanistic Perspective</w:t>
            </w:r>
          </w:p>
          <w:p w14:paraId="63FEE5FB" w14:textId="582169C9" w:rsidR="00A5693B" w:rsidRPr="00823C95" w:rsidRDefault="00A5693B" w:rsidP="001D059A">
            <w:pPr>
              <w:rPr>
                <w:rFonts w:cs="Arial"/>
              </w:rPr>
            </w:pPr>
            <w:r>
              <w:rPr>
                <w:rFonts w:cs="Arial"/>
              </w:rPr>
              <w:t>Information Literacy</w:t>
            </w:r>
          </w:p>
        </w:tc>
        <w:tc>
          <w:tcPr>
            <w:tcW w:w="3240" w:type="dxa"/>
          </w:tcPr>
          <w:p w14:paraId="44C9C804" w14:textId="050C3D94"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bl>
    <w:p w14:paraId="1273FB86" w14:textId="77777777" w:rsidR="005E592A" w:rsidRDefault="005E592A" w:rsidP="00FE2EBB">
      <w:pPr>
        <w:pStyle w:val="Heading2"/>
      </w:pPr>
    </w:p>
    <w:p w14:paraId="362FE986" w14:textId="77777777" w:rsidR="005E592A" w:rsidRDefault="005E592A" w:rsidP="005E592A">
      <w:pPr>
        <w:rPr>
          <w:rFonts w:eastAsiaTheme="majorEastAsia" w:cs="Arial"/>
          <w:szCs w:val="26"/>
        </w:rPr>
      </w:pPr>
      <w:r>
        <w:br w:type="page"/>
      </w:r>
    </w:p>
    <w:p w14:paraId="4997C69E" w14:textId="0684F822" w:rsidR="005A59B2" w:rsidRDefault="005A59B2" w:rsidP="00FE2EBB">
      <w:pPr>
        <w:pStyle w:val="Heading2"/>
      </w:pPr>
      <w:r>
        <w:lastRenderedPageBreak/>
        <w:t>Topic Outline</w:t>
      </w:r>
    </w:p>
    <w:p w14:paraId="3225C2DA" w14:textId="77777777" w:rsidR="00541700" w:rsidRPr="00541700" w:rsidRDefault="00541700" w:rsidP="00541700">
      <w:pPr>
        <w:pStyle w:val="ListParagraph"/>
        <w:numPr>
          <w:ilvl w:val="0"/>
          <w:numId w:val="9"/>
        </w:numPr>
        <w:spacing w:before="0" w:after="160" w:line="259" w:lineRule="auto"/>
        <w:rPr>
          <w:rFonts w:cs="Arial"/>
        </w:rPr>
      </w:pPr>
      <w:r w:rsidRPr="00541700">
        <w:rPr>
          <w:rFonts w:cs="Arial"/>
        </w:rPr>
        <w:t>To use Photoshop to open and save images into different file formats</w:t>
      </w:r>
    </w:p>
    <w:p w14:paraId="6DB0F13F" w14:textId="77777777" w:rsidR="00541700" w:rsidRPr="00541700" w:rsidRDefault="00541700" w:rsidP="00541700">
      <w:pPr>
        <w:pStyle w:val="ListParagraph"/>
        <w:numPr>
          <w:ilvl w:val="0"/>
          <w:numId w:val="9"/>
        </w:numPr>
        <w:spacing w:before="0" w:after="160" w:line="259" w:lineRule="auto"/>
        <w:rPr>
          <w:rFonts w:cs="Arial"/>
        </w:rPr>
      </w:pPr>
      <w:r w:rsidRPr="00541700">
        <w:rPr>
          <w:rFonts w:cs="Arial"/>
        </w:rPr>
        <w:t>To use Photoshop to color correct Photographs</w:t>
      </w:r>
    </w:p>
    <w:p w14:paraId="3823E5BD" w14:textId="77777777" w:rsidR="00541700" w:rsidRPr="00541700" w:rsidRDefault="00541700" w:rsidP="00541700">
      <w:pPr>
        <w:pStyle w:val="ListParagraph"/>
        <w:numPr>
          <w:ilvl w:val="0"/>
          <w:numId w:val="9"/>
        </w:numPr>
        <w:spacing w:before="0" w:after="160" w:line="259" w:lineRule="auto"/>
        <w:rPr>
          <w:rFonts w:cs="Arial"/>
        </w:rPr>
      </w:pPr>
      <w:r w:rsidRPr="00541700">
        <w:rPr>
          <w:rFonts w:cs="Arial"/>
        </w:rPr>
        <w:t xml:space="preserve">To use Photoshop to select parts of an image. </w:t>
      </w:r>
    </w:p>
    <w:p w14:paraId="75BA146E" w14:textId="77777777" w:rsidR="005A59B2" w:rsidRDefault="005A59B2">
      <w:pPr>
        <w:spacing w:before="0" w:after="160" w:line="259" w:lineRule="auto"/>
        <w:rPr>
          <w:rFonts w:eastAsiaTheme="majorEastAsia" w:cs="Arial"/>
          <w:b/>
          <w:szCs w:val="26"/>
        </w:rPr>
      </w:pPr>
      <w:r>
        <w:br w:type="page"/>
      </w:r>
    </w:p>
    <w:p w14:paraId="3DC8A944" w14:textId="77777777" w:rsidR="00314310" w:rsidRPr="00823C95" w:rsidRDefault="00314310" w:rsidP="00314310">
      <w:pPr>
        <w:pStyle w:val="Heading1"/>
        <w:jc w:val="left"/>
      </w:pPr>
      <w:r w:rsidRPr="00823C95">
        <w:lastRenderedPageBreak/>
        <w:t>Affirmative Action Statement</w:t>
      </w:r>
    </w:p>
    <w:p w14:paraId="56126F51" w14:textId="77777777" w:rsidR="00314310" w:rsidRPr="00823C95" w:rsidRDefault="00314310" w:rsidP="00314310">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1C45598F" w14:textId="77777777" w:rsidR="00314310" w:rsidRPr="00823C95" w:rsidRDefault="00314310" w:rsidP="00314310">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B898257" w14:textId="77777777" w:rsidR="00314310" w:rsidRPr="00823C95" w:rsidRDefault="00314310" w:rsidP="00314310">
      <w:pPr>
        <w:pStyle w:val="Heading2"/>
      </w:pPr>
      <w:r w:rsidRPr="00823C95">
        <w:t>Department of Special Services</w:t>
      </w:r>
    </w:p>
    <w:p w14:paraId="555A10B5" w14:textId="77777777" w:rsidR="00314310" w:rsidRPr="00823C95" w:rsidRDefault="00314310" w:rsidP="00314310">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7B3FC611" w14:textId="77777777" w:rsidR="00314310" w:rsidRPr="00823C95" w:rsidRDefault="00314310" w:rsidP="00314310">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89E83F8" w14:textId="77777777" w:rsidR="00314310" w:rsidRPr="00823C95" w:rsidRDefault="00314310" w:rsidP="00314310">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4399C6E" w14:textId="77777777" w:rsidR="00314310" w:rsidRPr="00823C95" w:rsidRDefault="00314310" w:rsidP="00314310">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413311E9" w14:textId="77777777" w:rsidR="00314310" w:rsidRPr="00823C95" w:rsidRDefault="00314310" w:rsidP="00314310">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5F42EB56" w14:textId="77777777" w:rsidR="00314310" w:rsidRPr="00823C95" w:rsidRDefault="00314310" w:rsidP="00314310">
      <w:pPr>
        <w:pStyle w:val="Heading2"/>
      </w:pPr>
      <w:r w:rsidRPr="00823C95">
        <w:t>To Register with Special Services </w:t>
      </w:r>
    </w:p>
    <w:p w14:paraId="254B3E53" w14:textId="77777777" w:rsidR="00314310" w:rsidRPr="00823C95" w:rsidRDefault="00314310" w:rsidP="00314310">
      <w:pPr>
        <w:rPr>
          <w:rFonts w:cs="Arial"/>
        </w:rPr>
      </w:pPr>
      <w:r w:rsidRPr="00823C95">
        <w:rPr>
          <w:rFonts w:cs="Arial"/>
        </w:rPr>
        <w:t>Students must follow these steps: </w:t>
      </w:r>
    </w:p>
    <w:p w14:paraId="52A2C833" w14:textId="77777777" w:rsidR="00314310" w:rsidRPr="00823C95" w:rsidRDefault="00314310" w:rsidP="00314310">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49E72265" w14:textId="77777777" w:rsidR="00314310" w:rsidRPr="00823C95" w:rsidRDefault="00314310" w:rsidP="00314310">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431F5CAD" w14:textId="77777777" w:rsidR="00314310" w:rsidRPr="00823C95" w:rsidRDefault="00314310" w:rsidP="00314310">
      <w:pPr>
        <w:numPr>
          <w:ilvl w:val="1"/>
          <w:numId w:val="2"/>
        </w:numPr>
        <w:rPr>
          <w:rFonts w:cs="Arial"/>
        </w:rPr>
      </w:pPr>
      <w:r w:rsidRPr="00823C95">
        <w:rPr>
          <w:rFonts w:cs="Arial"/>
        </w:rPr>
        <w:t>Diagnosis with written evaluation of current disability; </w:t>
      </w:r>
    </w:p>
    <w:p w14:paraId="2533267A" w14:textId="77777777" w:rsidR="00314310" w:rsidRPr="00823C95" w:rsidRDefault="00314310" w:rsidP="00314310">
      <w:pPr>
        <w:numPr>
          <w:ilvl w:val="1"/>
          <w:numId w:val="2"/>
        </w:numPr>
        <w:rPr>
          <w:rFonts w:cs="Arial"/>
        </w:rPr>
      </w:pPr>
      <w:r w:rsidRPr="00823C95">
        <w:rPr>
          <w:rFonts w:cs="Arial"/>
        </w:rPr>
        <w:t>Date the student was diagnosed; </w:t>
      </w:r>
    </w:p>
    <w:p w14:paraId="3657D0B1" w14:textId="77777777" w:rsidR="00314310" w:rsidRPr="00823C95" w:rsidRDefault="00314310" w:rsidP="00314310">
      <w:pPr>
        <w:numPr>
          <w:ilvl w:val="1"/>
          <w:numId w:val="2"/>
        </w:numPr>
        <w:rPr>
          <w:rFonts w:cs="Arial"/>
        </w:rPr>
      </w:pPr>
      <w:r w:rsidRPr="00823C95">
        <w:rPr>
          <w:rFonts w:cs="Arial"/>
        </w:rPr>
        <w:t>Tests used to reach diagnosis;  </w:t>
      </w:r>
    </w:p>
    <w:p w14:paraId="61EDDCE2" w14:textId="77777777" w:rsidR="00314310" w:rsidRPr="00823C95" w:rsidRDefault="00314310" w:rsidP="00314310">
      <w:pPr>
        <w:numPr>
          <w:ilvl w:val="1"/>
          <w:numId w:val="2"/>
        </w:numPr>
        <w:rPr>
          <w:rFonts w:cs="Arial"/>
        </w:rPr>
      </w:pPr>
      <w:r w:rsidRPr="00823C95">
        <w:rPr>
          <w:rFonts w:cs="Arial"/>
        </w:rPr>
        <w:t>Credentials of the medical professional conducting evaluation </w:t>
      </w:r>
    </w:p>
    <w:p w14:paraId="7D3FA7FC" w14:textId="77777777" w:rsidR="00314310" w:rsidRPr="00823C95" w:rsidRDefault="00314310" w:rsidP="00314310">
      <w:pPr>
        <w:numPr>
          <w:ilvl w:val="1"/>
          <w:numId w:val="2"/>
        </w:numPr>
        <w:rPr>
          <w:rFonts w:cs="Arial"/>
        </w:rPr>
      </w:pPr>
      <w:r w:rsidRPr="00823C95">
        <w:rPr>
          <w:rFonts w:cs="Arial"/>
        </w:rPr>
        <w:t>How the disability affects daily activities and/or academic performance. </w:t>
      </w:r>
    </w:p>
    <w:p w14:paraId="0E1C5F3E" w14:textId="77777777" w:rsidR="00314310" w:rsidRPr="00823C95" w:rsidRDefault="00314310" w:rsidP="00314310">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717E8831" w14:textId="77777777" w:rsidR="00314310" w:rsidRPr="00823C95" w:rsidRDefault="00314310" w:rsidP="00314310">
      <w:pPr>
        <w:pStyle w:val="ListParagraph"/>
        <w:numPr>
          <w:ilvl w:val="0"/>
          <w:numId w:val="3"/>
        </w:numPr>
        <w:rPr>
          <w:rFonts w:cs="Arial"/>
        </w:rPr>
      </w:pPr>
      <w:r w:rsidRPr="00823C95">
        <w:rPr>
          <w:rFonts w:cs="Arial"/>
        </w:rPr>
        <w:t>Contact the Special Services office to schedule a meeting with a staff member.</w:t>
      </w:r>
    </w:p>
    <w:p w14:paraId="1E3BA242" w14:textId="77777777" w:rsidR="00314310" w:rsidRPr="00823C95" w:rsidRDefault="00314310" w:rsidP="00314310">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70CC8B86" w14:textId="77777777" w:rsidR="00314310" w:rsidRPr="00823C95" w:rsidRDefault="00314310" w:rsidP="00314310">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721193CE" w14:textId="77777777" w:rsidR="00314310" w:rsidRPr="00823C95" w:rsidRDefault="00314310" w:rsidP="00314310">
      <w:pPr>
        <w:pStyle w:val="Heading2"/>
      </w:pPr>
      <w:r w:rsidRPr="00823C95">
        <w:t>Accommodations </w:t>
      </w:r>
    </w:p>
    <w:p w14:paraId="2760370E" w14:textId="77777777" w:rsidR="00314310" w:rsidRPr="00823C95" w:rsidRDefault="00314310" w:rsidP="00314310">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12CD93F" w14:textId="77777777" w:rsidR="00314310" w:rsidRPr="00823C95" w:rsidRDefault="00314310" w:rsidP="00314310">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0971277" w14:textId="77777777" w:rsidR="00314310" w:rsidRPr="00823C95" w:rsidRDefault="00314310" w:rsidP="00314310">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5EAC2B22" w14:textId="77777777" w:rsidR="00314310" w:rsidRPr="00823C95" w:rsidRDefault="00314310" w:rsidP="00314310">
      <w:pPr>
        <w:pStyle w:val="Heading2"/>
      </w:pPr>
      <w:r w:rsidRPr="00823C95">
        <w:lastRenderedPageBreak/>
        <w:t>Confidentiality </w:t>
      </w:r>
    </w:p>
    <w:p w14:paraId="0DFF9145" w14:textId="77777777" w:rsidR="00314310" w:rsidRPr="00823C95" w:rsidRDefault="00314310" w:rsidP="00314310">
      <w:pPr>
        <w:rPr>
          <w:rFonts w:cs="Arial"/>
        </w:rPr>
      </w:pPr>
      <w:r w:rsidRPr="00823C95">
        <w:rPr>
          <w:rFonts w:cs="Arial"/>
        </w:rPr>
        <w:t>Students who register with the Department of Special Services are assured that their information is kept confidential.  </w:t>
      </w:r>
    </w:p>
    <w:p w14:paraId="2074B658" w14:textId="77777777" w:rsidR="00314310" w:rsidRDefault="00314310" w:rsidP="00314310">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3884233D" w14:textId="77777777" w:rsidR="00314310" w:rsidRDefault="00314310" w:rsidP="00314310">
      <w:pPr>
        <w:spacing w:before="0" w:after="160" w:line="259" w:lineRule="auto"/>
        <w:rPr>
          <w:rFonts w:cs="Arial"/>
        </w:rPr>
      </w:pPr>
      <w:r>
        <w:rPr>
          <w:rFonts w:cs="Arial"/>
        </w:rPr>
        <w:br w:type="page"/>
      </w:r>
    </w:p>
    <w:p w14:paraId="4048A9C3" w14:textId="77777777" w:rsidR="00314310" w:rsidRPr="00B63830" w:rsidRDefault="00314310" w:rsidP="00314310">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EA56612" w14:textId="77777777" w:rsidR="00314310" w:rsidRPr="00B63830" w:rsidRDefault="00314310" w:rsidP="00314310">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6A499E46" w14:textId="77777777" w:rsidR="00314310" w:rsidRDefault="00314310" w:rsidP="00314310">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2549C630" w14:textId="77777777" w:rsidR="00314310" w:rsidRDefault="00314310" w:rsidP="00314310">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314310" w:rsidRPr="00B63830" w14:paraId="1492B3F1"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A44E25A" w14:textId="77777777" w:rsidR="00314310" w:rsidRPr="00B63830" w:rsidRDefault="00314310"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FAC5209" w14:textId="77777777" w:rsidR="00314310" w:rsidRPr="00B63830" w:rsidRDefault="00314310"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0D41E13" w14:textId="77777777" w:rsidR="00314310" w:rsidRPr="00B63830" w:rsidRDefault="00314310"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314310" w:rsidRPr="00B63830" w14:paraId="338E886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B0DF3E6"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152A61B"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ABB34B3" w14:textId="77777777" w:rsidR="00314310" w:rsidRPr="00B63830" w:rsidRDefault="00314310" w:rsidP="00586837">
            <w:pPr>
              <w:spacing w:before="0" w:after="0" w:line="240" w:lineRule="auto"/>
              <w:jc w:val="center"/>
              <w:rPr>
                <w:rFonts w:ascii="Calibri" w:eastAsia="Calibri" w:hAnsi="Calibri"/>
                <w:szCs w:val="20"/>
                <w:lang w:eastAsia="en-US"/>
              </w:rPr>
            </w:pPr>
          </w:p>
          <w:p w14:paraId="1AE1772B"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6A572AE" w14:textId="77777777" w:rsidR="00314310" w:rsidRDefault="0031431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42D50AF" w14:textId="77777777" w:rsidR="00314310" w:rsidRPr="00B63830" w:rsidRDefault="00314310" w:rsidP="00586837">
            <w:pPr>
              <w:spacing w:before="0" w:after="0" w:line="240" w:lineRule="auto"/>
              <w:jc w:val="center"/>
              <w:rPr>
                <w:rFonts w:ascii="Calibri" w:eastAsia="Calibri" w:hAnsi="Calibri"/>
                <w:sz w:val="10"/>
                <w:szCs w:val="10"/>
                <w:lang w:eastAsia="en-US"/>
              </w:rPr>
            </w:pPr>
          </w:p>
          <w:p w14:paraId="797D0A62" w14:textId="77777777" w:rsidR="00314310" w:rsidRDefault="0031431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4D045660" w14:textId="77777777" w:rsidR="00314310" w:rsidRPr="003E4107" w:rsidRDefault="00314310" w:rsidP="00586837">
            <w:pPr>
              <w:spacing w:before="0" w:after="0" w:line="240" w:lineRule="auto"/>
              <w:jc w:val="center"/>
              <w:rPr>
                <w:rFonts w:ascii="Calibri" w:eastAsia="Calibri" w:hAnsi="Calibri"/>
                <w:sz w:val="10"/>
                <w:szCs w:val="10"/>
                <w:lang w:eastAsia="en-US"/>
              </w:rPr>
            </w:pPr>
          </w:p>
          <w:p w14:paraId="3A72759F" w14:textId="77777777" w:rsidR="00314310" w:rsidRPr="00B63830" w:rsidRDefault="0031431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541718F2" w14:textId="77777777" w:rsidR="00314310" w:rsidRPr="00B63830" w:rsidRDefault="00314310"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524E0FF" w14:textId="77777777" w:rsidR="0031431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42D84B63" w14:textId="77777777" w:rsidR="00314310" w:rsidRPr="00B63830" w:rsidRDefault="00314310" w:rsidP="00586837">
            <w:pPr>
              <w:spacing w:before="0" w:after="0" w:line="240" w:lineRule="auto"/>
              <w:jc w:val="center"/>
              <w:rPr>
                <w:rFonts w:ascii="Calibri" w:eastAsia="Calibri" w:hAnsi="Calibri"/>
                <w:b/>
                <w:sz w:val="24"/>
                <w:szCs w:val="24"/>
                <w:lang w:eastAsia="en-US"/>
              </w:rPr>
            </w:pPr>
          </w:p>
          <w:p w14:paraId="7ED0EA01" w14:textId="77777777" w:rsidR="0031431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2FAE2EC9" w14:textId="77777777" w:rsidR="00314310" w:rsidRPr="00B63830" w:rsidRDefault="00314310" w:rsidP="00586837">
            <w:pPr>
              <w:spacing w:before="0" w:after="0" w:line="240" w:lineRule="auto"/>
              <w:jc w:val="center"/>
              <w:rPr>
                <w:rFonts w:ascii="Calibri" w:eastAsia="Calibri" w:hAnsi="Calibri"/>
                <w:b/>
                <w:sz w:val="24"/>
                <w:szCs w:val="24"/>
                <w:lang w:eastAsia="en-US"/>
              </w:rPr>
            </w:pPr>
          </w:p>
          <w:p w14:paraId="4845A9C3"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314310" w:rsidRPr="00B63830" w14:paraId="52FAE2C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E13230A"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F34381C"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1595F37"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CA6A109"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F7CD13A"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2737AC3" w14:textId="77777777" w:rsidR="00314310" w:rsidRPr="00833054" w:rsidRDefault="00314310"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23393267" w14:textId="77777777" w:rsidR="00314310" w:rsidRPr="00833054" w:rsidRDefault="00314310"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644F6FA9" w14:textId="77777777" w:rsidR="00314310" w:rsidRPr="00833054" w:rsidRDefault="00314310" w:rsidP="00586837">
            <w:pPr>
              <w:spacing w:before="0" w:after="0" w:line="240" w:lineRule="auto"/>
              <w:jc w:val="center"/>
              <w:rPr>
                <w:rFonts w:ascii="Calibri" w:eastAsia="Calibri" w:hAnsi="Calibri"/>
                <w:b/>
                <w:color w:val="FF0000"/>
                <w:sz w:val="10"/>
                <w:szCs w:val="10"/>
                <w:lang w:eastAsia="en-US"/>
              </w:rPr>
            </w:pPr>
          </w:p>
          <w:p w14:paraId="567B99DC" w14:textId="77777777" w:rsidR="00314310" w:rsidRPr="00B63830" w:rsidRDefault="00314310"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ECA633D" w14:textId="77777777" w:rsidR="00314310" w:rsidRPr="00B63830" w:rsidRDefault="00314310"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54DFE98" w14:textId="77777777" w:rsidR="00314310" w:rsidRPr="00833054" w:rsidRDefault="00314310"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C2CC21E" w14:textId="77777777" w:rsidR="00314310" w:rsidRPr="00833054" w:rsidRDefault="00314310"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0C1FDBE2" w14:textId="77777777" w:rsidR="00314310" w:rsidRPr="00833054" w:rsidRDefault="00314310" w:rsidP="00586837">
            <w:pPr>
              <w:spacing w:before="0" w:after="0" w:line="240" w:lineRule="auto"/>
              <w:jc w:val="center"/>
              <w:rPr>
                <w:rFonts w:ascii="Calibri" w:eastAsia="Calibri" w:hAnsi="Calibri"/>
                <w:sz w:val="52"/>
                <w:szCs w:val="52"/>
                <w:lang w:eastAsia="en-US"/>
              </w:rPr>
            </w:pPr>
          </w:p>
          <w:p w14:paraId="3D431EA1" w14:textId="77777777" w:rsidR="00314310" w:rsidRPr="00B63830" w:rsidRDefault="00314310"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314310" w:rsidRPr="00B63830" w14:paraId="6B57C402"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DDBA3EB"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6E2C5937"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6679415"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EA8C245" w14:textId="77777777" w:rsidR="00314310" w:rsidRPr="00B63830" w:rsidRDefault="00314310"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6B31A655"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6AC6FFD7" w14:textId="77777777" w:rsidR="00314310" w:rsidRDefault="00314310"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6F51C9C6" w14:textId="77777777" w:rsidR="00314310" w:rsidRPr="00B63830" w:rsidRDefault="00314310" w:rsidP="00586837">
            <w:pPr>
              <w:spacing w:before="0" w:after="0" w:line="240" w:lineRule="auto"/>
              <w:jc w:val="center"/>
              <w:rPr>
                <w:rFonts w:ascii="Calibri" w:eastAsia="Calibri" w:hAnsi="Calibri"/>
                <w:b/>
                <w:sz w:val="18"/>
                <w:lang w:eastAsia="en-US"/>
              </w:rPr>
            </w:pPr>
          </w:p>
          <w:p w14:paraId="2FB695B6" w14:textId="77777777" w:rsidR="00314310" w:rsidRPr="00B63830" w:rsidRDefault="0031431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0A9A266F"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6C13675" w14:textId="77777777" w:rsidR="00314310" w:rsidRPr="00B63830" w:rsidRDefault="00314310"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D5300F1"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0458009C"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3F1C1918" w14:textId="77777777" w:rsidR="00314310" w:rsidRDefault="00314310"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33FB7EF1" w14:textId="77777777" w:rsidR="00314310" w:rsidRPr="00B63830" w:rsidRDefault="00314310" w:rsidP="00586837">
            <w:pPr>
              <w:spacing w:before="0" w:after="0" w:line="240" w:lineRule="auto"/>
              <w:jc w:val="center"/>
              <w:rPr>
                <w:rFonts w:ascii="Calibri" w:eastAsia="Calibri" w:hAnsi="Calibri"/>
                <w:szCs w:val="20"/>
                <w:lang w:eastAsia="en-US"/>
              </w:rPr>
            </w:pPr>
          </w:p>
          <w:p w14:paraId="5241B97E"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3E75FDBA"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F939213" w14:textId="77777777" w:rsidR="00314310" w:rsidRPr="00B63830" w:rsidRDefault="00314310"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314310" w:rsidRPr="00B63830" w14:paraId="55312B22"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1076A27"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4802386"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32DF9EDA"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7DDDC80"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560E308"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10F27D28"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1B81371" w14:textId="77777777" w:rsidR="00314310" w:rsidRPr="00B63830" w:rsidRDefault="00314310" w:rsidP="00586837">
            <w:pPr>
              <w:spacing w:before="0" w:after="0" w:line="240" w:lineRule="auto"/>
              <w:jc w:val="center"/>
              <w:rPr>
                <w:rFonts w:ascii="Calibri" w:eastAsia="Calibri" w:hAnsi="Calibri"/>
                <w:sz w:val="8"/>
                <w:szCs w:val="8"/>
                <w:lang w:eastAsia="en-US"/>
              </w:rPr>
            </w:pPr>
          </w:p>
          <w:p w14:paraId="4DCE9A76"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0A08747E"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0169AE2A" w14:textId="77777777" w:rsidR="0031431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4E4B3110" w14:textId="77777777" w:rsidR="00314310" w:rsidRDefault="00314310" w:rsidP="00586837">
            <w:pPr>
              <w:spacing w:before="0" w:after="0" w:line="240" w:lineRule="auto"/>
              <w:jc w:val="center"/>
              <w:rPr>
                <w:rFonts w:ascii="Calibri" w:eastAsia="Calibri" w:hAnsi="Calibri"/>
                <w:b/>
                <w:szCs w:val="20"/>
                <w:lang w:eastAsia="en-US"/>
              </w:rPr>
            </w:pPr>
          </w:p>
          <w:p w14:paraId="35A6084F" w14:textId="77777777" w:rsidR="00314310" w:rsidRPr="00B63830" w:rsidRDefault="00314310" w:rsidP="00586837">
            <w:pPr>
              <w:spacing w:before="0" w:after="0" w:line="240" w:lineRule="auto"/>
              <w:jc w:val="center"/>
              <w:rPr>
                <w:rFonts w:ascii="Calibri" w:eastAsia="Calibri" w:hAnsi="Calibri"/>
                <w:b/>
                <w:szCs w:val="20"/>
                <w:lang w:eastAsia="en-US"/>
              </w:rPr>
            </w:pPr>
          </w:p>
          <w:p w14:paraId="3D99874E"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45E8958D"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06BE1060" w14:textId="77777777" w:rsidR="0031431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486F7A9" w14:textId="77777777" w:rsidR="00314310" w:rsidRDefault="00314310" w:rsidP="00586837">
            <w:pPr>
              <w:spacing w:before="0" w:after="0" w:line="240" w:lineRule="auto"/>
              <w:jc w:val="center"/>
              <w:rPr>
                <w:rFonts w:ascii="Calibri" w:eastAsia="Calibri" w:hAnsi="Calibri"/>
                <w:b/>
                <w:szCs w:val="20"/>
                <w:lang w:eastAsia="en-US"/>
              </w:rPr>
            </w:pPr>
          </w:p>
          <w:p w14:paraId="08D7DE7F" w14:textId="77777777" w:rsidR="00314310" w:rsidRPr="00B63830" w:rsidRDefault="00314310" w:rsidP="00586837">
            <w:pPr>
              <w:spacing w:before="0" w:after="0" w:line="240" w:lineRule="auto"/>
              <w:jc w:val="center"/>
              <w:rPr>
                <w:rFonts w:ascii="Calibri" w:eastAsia="Calibri" w:hAnsi="Calibri"/>
                <w:b/>
                <w:sz w:val="10"/>
                <w:szCs w:val="10"/>
                <w:lang w:eastAsia="en-US"/>
              </w:rPr>
            </w:pPr>
          </w:p>
          <w:p w14:paraId="5C7F6848"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ED06A33" w14:textId="77777777" w:rsidR="00314310" w:rsidRPr="00B63830" w:rsidRDefault="00314310"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3C86EA6A" w14:textId="77777777" w:rsidR="00314310" w:rsidRPr="00B63830" w:rsidRDefault="00314310"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EDBADB7"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6CA40AB6" w14:textId="77777777" w:rsidR="00314310" w:rsidRPr="00B63830" w:rsidRDefault="00314310" w:rsidP="00586837">
            <w:pPr>
              <w:spacing w:before="0" w:after="0" w:line="240" w:lineRule="auto"/>
              <w:jc w:val="center"/>
              <w:rPr>
                <w:rFonts w:ascii="Calibri" w:eastAsia="Calibri" w:hAnsi="Calibri"/>
                <w:sz w:val="18"/>
                <w:lang w:eastAsia="en-US"/>
              </w:rPr>
            </w:pPr>
          </w:p>
          <w:p w14:paraId="6C3BE206" w14:textId="77777777" w:rsidR="00314310" w:rsidRPr="00B63830" w:rsidRDefault="00314310"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505AEE66" w14:textId="77777777" w:rsidR="0031431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4B78A063" w14:textId="77777777" w:rsidR="00314310" w:rsidRDefault="00314310" w:rsidP="00586837">
            <w:pPr>
              <w:spacing w:before="0" w:after="0" w:line="240" w:lineRule="auto"/>
              <w:jc w:val="center"/>
              <w:rPr>
                <w:rFonts w:ascii="Calibri" w:eastAsia="Calibri" w:hAnsi="Calibri"/>
                <w:b/>
                <w:szCs w:val="20"/>
                <w:lang w:eastAsia="en-US"/>
              </w:rPr>
            </w:pPr>
          </w:p>
          <w:p w14:paraId="6DADCDEE" w14:textId="77777777" w:rsidR="00314310" w:rsidRPr="00B63830" w:rsidRDefault="00314310" w:rsidP="00586837">
            <w:pPr>
              <w:spacing w:before="0" w:after="0" w:line="240" w:lineRule="auto"/>
              <w:jc w:val="center"/>
              <w:rPr>
                <w:rFonts w:ascii="Calibri" w:eastAsia="Calibri" w:hAnsi="Calibri"/>
                <w:szCs w:val="20"/>
                <w:lang w:eastAsia="en-US"/>
              </w:rPr>
            </w:pPr>
          </w:p>
          <w:p w14:paraId="3FC206BE"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189746D" w14:textId="77777777" w:rsidR="0031431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6144456C" w14:textId="77777777" w:rsidR="00314310" w:rsidRDefault="00314310" w:rsidP="00586837">
            <w:pPr>
              <w:spacing w:before="0" w:after="0" w:line="240" w:lineRule="auto"/>
              <w:jc w:val="center"/>
              <w:rPr>
                <w:rFonts w:ascii="Calibri" w:eastAsia="Calibri" w:hAnsi="Calibri"/>
                <w:b/>
                <w:szCs w:val="20"/>
                <w:lang w:eastAsia="en-US"/>
              </w:rPr>
            </w:pPr>
          </w:p>
          <w:p w14:paraId="1328398C" w14:textId="77777777" w:rsidR="00314310" w:rsidRPr="00B63830" w:rsidRDefault="00314310" w:rsidP="00586837">
            <w:pPr>
              <w:spacing w:before="0" w:after="0" w:line="240" w:lineRule="auto"/>
              <w:jc w:val="center"/>
              <w:rPr>
                <w:rFonts w:ascii="Calibri" w:eastAsia="Calibri" w:hAnsi="Calibri"/>
                <w:b/>
                <w:szCs w:val="20"/>
                <w:lang w:eastAsia="en-US"/>
              </w:rPr>
            </w:pPr>
          </w:p>
          <w:p w14:paraId="09346643"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A43C6DF"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314310" w:rsidRPr="00B63830" w14:paraId="3D9E4355"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A509430"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051D14C" w14:textId="77777777" w:rsidR="00314310" w:rsidRPr="00B63830" w:rsidRDefault="00314310"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3DD744F9" w14:textId="77777777" w:rsidR="00314310" w:rsidRPr="00B63830" w:rsidRDefault="0031431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67DE1AC" w14:textId="77777777" w:rsidR="00314310" w:rsidRPr="00B63830" w:rsidRDefault="00314310"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6473577"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4DACFA1"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295C0C36" w14:textId="77777777" w:rsidR="00314310" w:rsidRPr="00B63830" w:rsidRDefault="00314310"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B4D3A59"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6CC45427" w14:textId="77777777" w:rsidR="00314310" w:rsidRPr="00B63830" w:rsidRDefault="0031431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42DD449E" w14:textId="77777777" w:rsidR="00314310" w:rsidRPr="00B63830" w:rsidRDefault="00314310"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314310">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1F06350" w:rsidR="004A5FD9" w:rsidRDefault="004A5FD9" w:rsidP="00A128E8">
        <w:pPr>
          <w:pStyle w:val="Footer"/>
          <w:ind w:left="720"/>
        </w:pPr>
        <w:r>
          <w:fldChar w:fldCharType="begin"/>
        </w:r>
        <w:r>
          <w:instrText xml:space="preserve"> PAGE   \* MERGEFORMAT </w:instrText>
        </w:r>
        <w:r>
          <w:fldChar w:fldCharType="separate"/>
        </w:r>
        <w:r w:rsidR="005E592A">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7F40"/>
    <w:multiLevelType w:val="hybridMultilevel"/>
    <w:tmpl w:val="39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C546A"/>
    <w:multiLevelType w:val="hybridMultilevel"/>
    <w:tmpl w:val="5AF6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7"/>
  </w:num>
  <w:num w:numId="6">
    <w:abstractNumId w:val="6"/>
  </w:num>
  <w:num w:numId="7">
    <w:abstractNumId w:val="2"/>
  </w:num>
  <w:num w:numId="8">
    <w:abstractNumId w:val="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62EB4"/>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14310"/>
    <w:rsid w:val="003152C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1700"/>
    <w:rsid w:val="00547964"/>
    <w:rsid w:val="0055446F"/>
    <w:rsid w:val="00560F2F"/>
    <w:rsid w:val="005635B5"/>
    <w:rsid w:val="00586DDC"/>
    <w:rsid w:val="00590575"/>
    <w:rsid w:val="005A59B2"/>
    <w:rsid w:val="005B36B7"/>
    <w:rsid w:val="005B4347"/>
    <w:rsid w:val="005E4D63"/>
    <w:rsid w:val="005E592A"/>
    <w:rsid w:val="005F0CC9"/>
    <w:rsid w:val="005F4CE3"/>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77C3E"/>
    <w:rsid w:val="00DB365F"/>
    <w:rsid w:val="00DD3955"/>
    <w:rsid w:val="00DE5B41"/>
    <w:rsid w:val="00E11EA0"/>
    <w:rsid w:val="00E202EA"/>
    <w:rsid w:val="00E33A79"/>
    <w:rsid w:val="00E449A5"/>
    <w:rsid w:val="00E46150"/>
    <w:rsid w:val="00E56F21"/>
    <w:rsid w:val="00E75670"/>
    <w:rsid w:val="00E858C5"/>
    <w:rsid w:val="00E91C69"/>
    <w:rsid w:val="00ED393B"/>
    <w:rsid w:val="00EE4CBF"/>
    <w:rsid w:val="00EF44EB"/>
    <w:rsid w:val="00F01B15"/>
    <w:rsid w:val="00F03AD3"/>
    <w:rsid w:val="00F12118"/>
    <w:rsid w:val="00F13AA2"/>
    <w:rsid w:val="00F26E3E"/>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3143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7CE739F-5D31-1D4A-8B61-C952722071E8}">
  <ds:schemaRefs>
    <ds:schemaRef ds:uri="http://schemas.openxmlformats.org/officeDocument/2006/bibliography"/>
  </ds:schemaRefs>
</ds:datastoreItem>
</file>

<file path=customXml/itemProps2.xml><?xml version="1.0" encoding="utf-8"?>
<ds:datastoreItem xmlns:ds="http://schemas.openxmlformats.org/officeDocument/2006/customXml" ds:itemID="{24DD5A75-5BC0-4177-894D-FDFB6A3908AA}"/>
</file>

<file path=customXml/itemProps3.xml><?xml version="1.0" encoding="utf-8"?>
<ds:datastoreItem xmlns:ds="http://schemas.openxmlformats.org/officeDocument/2006/customXml" ds:itemID="{9131045E-8148-4355-B15C-323C070782C3}"/>
</file>

<file path=customXml/itemProps4.xml><?xml version="1.0" encoding="utf-8"?>
<ds:datastoreItem xmlns:ds="http://schemas.openxmlformats.org/officeDocument/2006/customXml" ds:itemID="{7112325A-BF38-46B3-9A2A-8EC29F1542AA}"/>
</file>

<file path=docProps/app.xml><?xml version="1.0" encoding="utf-8"?>
<Properties xmlns="http://schemas.openxmlformats.org/officeDocument/2006/extended-properties" xmlns:vt="http://schemas.openxmlformats.org/officeDocument/2006/docPropsVTypes">
  <Template>Normal.dotm</Template>
  <TotalTime>5</TotalTime>
  <Pages>9</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2019-02-14T15:54:00Z</cp:lastPrinted>
  <dcterms:created xsi:type="dcterms:W3CDTF">2019-02-14T14:45:00Z</dcterms:created>
  <dcterms:modified xsi:type="dcterms:W3CDTF">2020-04-28T13:45:00Z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